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ind w:right="411"/>
        <w:rPr>
          <w:rFonts w:cs="Calibri"/>
        </w:rPr>
      </w:pPr>
      <w:bookmarkStart w:id="0" w:name="_Toc523133264"/>
      <w:bookmarkStart w:id="1" w:name="_Toc47522143"/>
      <w:bookmarkStart w:id="2" w:name="_Toc504398520"/>
      <w:r>
        <w:rPr>
          <w:noProof/>
        </w:rPr>
        <w:drawing>
          <wp:anchor distT="0" distB="0" distL="114300" distR="114300" simplePos="0" relativeHeight="251657216" behindDoc="0" locked="0" layoutInCell="1" allowOverlap="1">
            <wp:simplePos x="0" y="0"/>
            <wp:positionH relativeFrom="margin">
              <wp:align>center</wp:align>
            </wp:positionH>
            <wp:positionV relativeFrom="margin">
              <wp:posOffset>-546619</wp:posOffset>
            </wp:positionV>
            <wp:extent cx="1971675" cy="733425"/>
            <wp:effectExtent l="0" t="0" r="9525" b="9525"/>
            <wp:wrapSquare wrapText="right"/>
            <wp:docPr id="3" name="Image 1" descr="logoGHTplainedefrance-vectorise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GHTplainedefrance-vectorise8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71675" cy="7334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Calibri"/>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55pt;margin-top:-20.85pt;width:80.15pt;height:41.6pt;z-index:251658240;mso-position-horizontal-relative:text;mso-position-vertical-relative:text">
            <v:imagedata r:id="rId12" o:title=""/>
            <w10:wrap type="topAndBottom"/>
          </v:shape>
          <o:OLEObject Type="Embed" ProgID="MSPhotoEd.3" ShapeID="_x0000_s1026" DrawAspect="Content" ObjectID="_1815824956" r:id="rId13"/>
        </w:object>
      </w:r>
    </w:p>
    <w:p>
      <w:pPr>
        <w:ind w:left="284" w:right="411"/>
        <w:rPr>
          <w:rFonts w:cs="Calibri"/>
          <w:sz w:val="20"/>
          <w:szCs w:val="22"/>
        </w:rPr>
      </w:pPr>
    </w:p>
    <w:p>
      <w:pPr>
        <w:ind w:left="284" w:right="411"/>
        <w:rPr>
          <w:rFonts w:cs="Calibri"/>
          <w:sz w:val="20"/>
          <w:szCs w:val="22"/>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ind w:left="709" w:right="411"/>
              <w:jc w:val="center"/>
              <w:rPr>
                <w:rFonts w:cs="Calibri"/>
                <w:b/>
                <w:bCs/>
              </w:rPr>
            </w:pPr>
            <w:r>
              <w:rPr>
                <w:rFonts w:cs="Calibri"/>
                <w:b/>
                <w:bCs/>
              </w:rPr>
              <w:t>R.C</w:t>
            </w:r>
          </w:p>
          <w:p>
            <w:pPr>
              <w:ind w:left="709" w:right="411"/>
              <w:jc w:val="center"/>
              <w:rPr>
                <w:rFonts w:cs="Calibri"/>
                <w:b/>
                <w:bCs/>
              </w:rPr>
            </w:pPr>
            <w:r>
              <w:rPr>
                <w:rFonts w:cs="Calibri"/>
                <w:b/>
                <w:bCs/>
              </w:rPr>
              <w:t>REGLEMENT DE CONSULTATION</w:t>
            </w:r>
          </w:p>
        </w:tc>
      </w:tr>
    </w:tbl>
    <w:p>
      <w:pPr>
        <w:ind w:left="709" w:right="411"/>
        <w:jc w:val="center"/>
        <w:rPr>
          <w:rFonts w:cs="Calibri"/>
          <w:b/>
          <w:bCs/>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autoSpaceDE w:val="0"/>
              <w:autoSpaceDN w:val="0"/>
              <w:adjustRightInd w:val="0"/>
              <w:jc w:val="center"/>
              <w:rPr>
                <w:rFonts w:cs="Calibri"/>
                <w:b/>
                <w:bCs/>
              </w:rPr>
            </w:pPr>
            <w:r>
              <w:rPr>
                <w:rFonts w:cs="Calibri"/>
                <w:b/>
                <w:bCs/>
              </w:rPr>
              <w:t xml:space="preserve">RELANCE LOT 1 DEMENAGEMENT DE LA SALLE SERVEUR AU BMC 9 </w:t>
            </w:r>
          </w:p>
          <w:p>
            <w:pPr>
              <w:ind w:left="709" w:right="411"/>
              <w:jc w:val="center"/>
              <w:rPr>
                <w:rFonts w:cs="Calibri"/>
                <w:b/>
                <w:bCs/>
              </w:rPr>
            </w:pPr>
            <w:r>
              <w:rPr>
                <w:rFonts w:cs="Calibri"/>
                <w:b/>
                <w:bCs/>
              </w:rPr>
              <w:t>ET REMISE EN PROPRETE DE LA DSIN.</w:t>
            </w:r>
          </w:p>
        </w:tc>
      </w:tr>
    </w:tbl>
    <w:p>
      <w:pPr>
        <w:tabs>
          <w:tab w:val="left" w:pos="5626"/>
        </w:tabs>
        <w:ind w:right="411"/>
        <w:rPr>
          <w:rFonts w:cs="Calibri"/>
          <w:b/>
          <w:sz w:val="20"/>
          <w:szCs w:val="20"/>
        </w:rPr>
      </w:pPr>
    </w:p>
    <w:p/>
    <w:p/>
    <w:p>
      <w:r>
        <w:t>La procédure est passée en application des dispositions du Code de la Commande Publique (ci-après « Le Code ») :</w:t>
      </w:r>
    </w:p>
    <w:p/>
    <w:p>
      <w:pPr>
        <w:pStyle w:val="paragraph"/>
        <w:spacing w:before="0" w:beforeAutospacing="0" w:after="0" w:afterAutospacing="0"/>
        <w:jc w:val="center"/>
        <w:textAlignment w:val="baseline"/>
        <w:rPr>
          <w:rFonts w:ascii="Calibri" w:hAnsi="Calibri"/>
          <w:sz w:val="22"/>
        </w:rPr>
      </w:pPr>
      <w:r>
        <w:rPr>
          <w:rFonts w:ascii="Calibri" w:hAnsi="Calibri"/>
        </w:rPr>
        <w:t>Procédure adaptée (MAPA) : </w:t>
      </w:r>
    </w:p>
    <w:p>
      <w:pPr>
        <w:pStyle w:val="paragraph"/>
        <w:spacing w:before="0" w:beforeAutospacing="0" w:after="0" w:afterAutospacing="0"/>
        <w:jc w:val="center"/>
        <w:textAlignment w:val="baseline"/>
        <w:rPr>
          <w:rFonts w:ascii="Calibri" w:hAnsi="Calibri"/>
          <w:sz w:val="22"/>
        </w:rPr>
      </w:pPr>
      <w:r>
        <w:rPr>
          <w:rFonts w:ascii="Calibri" w:hAnsi="Calibri"/>
        </w:rPr>
        <w:t> Articles L.2123-1 et R.2123-1 du Code ;</w:t>
      </w:r>
    </w:p>
    <w:p>
      <w:pPr>
        <w:pStyle w:val="paragraph"/>
        <w:spacing w:before="0" w:beforeAutospacing="0" w:after="0" w:afterAutospacing="0"/>
        <w:jc w:val="center"/>
        <w:textAlignment w:val="baseline"/>
        <w:rPr>
          <w:rFonts w:ascii="Calibri" w:hAnsi="Calibri"/>
          <w:sz w:val="22"/>
        </w:rPr>
      </w:pPr>
      <w:r>
        <w:rPr>
          <w:rFonts w:ascii="Calibri" w:hAnsi="Calibri"/>
        </w:rPr>
        <w:t>&amp; </w:t>
      </w:r>
    </w:p>
    <w:p>
      <w:pPr>
        <w:pStyle w:val="paragraph"/>
        <w:spacing w:before="0" w:beforeAutospacing="0" w:after="0" w:afterAutospacing="0"/>
        <w:jc w:val="center"/>
        <w:textAlignment w:val="baseline"/>
        <w:rPr>
          <w:rFonts w:ascii="Calibri" w:hAnsi="Calibri"/>
          <w:sz w:val="22"/>
        </w:rPr>
      </w:pPr>
      <w:r>
        <w:rPr>
          <w:rFonts w:ascii="Calibri" w:hAnsi="Calibri"/>
        </w:rPr>
        <w:t>Accord-cadre mono-attributaire par lot à bon de commandes : </w:t>
      </w:r>
    </w:p>
    <w:p>
      <w:pPr>
        <w:pStyle w:val="paragraph"/>
        <w:spacing w:before="0" w:beforeAutospacing="0" w:after="0" w:afterAutospacing="0"/>
        <w:jc w:val="center"/>
        <w:textAlignment w:val="baseline"/>
        <w:rPr>
          <w:rFonts w:ascii="Calibri" w:hAnsi="Calibri"/>
          <w:sz w:val="22"/>
        </w:rPr>
      </w:pPr>
      <w:r>
        <w:rPr>
          <w:rFonts w:ascii="Calibri" w:hAnsi="Calibri"/>
        </w:rPr>
        <w:t> Articles L.2125-1, R.2162-1 à R.2162-6, R.2162-13 et R.2162-14 du Code ; </w:t>
      </w:r>
    </w:p>
    <w:p>
      <w:pPr>
        <w:pStyle w:val="paragraph"/>
        <w:spacing w:before="0" w:beforeAutospacing="0" w:after="0" w:afterAutospacing="0"/>
        <w:jc w:val="center"/>
        <w:textAlignment w:val="baseline"/>
        <w:rPr>
          <w:rFonts w:ascii="Calibri" w:hAnsi="Calibri"/>
          <w:sz w:val="22"/>
        </w:rPr>
      </w:pPr>
      <w:r>
        <w:rPr>
          <w:rFonts w:ascii="Calibri" w:hAnsi="Calibri"/>
        </w:rPr>
        <w:t>Articles R.2162-13 à R.2162-14 du code  </w:t>
      </w:r>
    </w:p>
    <w:p>
      <w:pPr>
        <w:pStyle w:val="Paragraphedeliste"/>
      </w:pPr>
    </w:p>
    <w:p/>
    <w:p>
      <w:pPr>
        <w:jc w:val="center"/>
        <w:rPr>
          <w:b/>
        </w:rPr>
      </w:pPr>
      <w:r>
        <w:rPr>
          <w:b/>
        </w:rPr>
        <w:t>POUVOIR ADJUDICATEUR</w:t>
      </w:r>
    </w:p>
    <w:p>
      <w:pPr>
        <w:jc w:val="center"/>
      </w:pPr>
    </w:p>
    <w:p>
      <w:pPr>
        <w:jc w:val="center"/>
        <w:rPr>
          <w:b/>
        </w:rPr>
      </w:pPr>
      <w:r>
        <w:rPr>
          <w:b/>
        </w:rPr>
        <w:t>CENTRE HOSPITALIER DE SAINT-DENIS</w:t>
      </w:r>
    </w:p>
    <w:p>
      <w:pPr>
        <w:jc w:val="center"/>
        <w:rPr>
          <w:sz w:val="20"/>
        </w:rPr>
      </w:pPr>
      <w:r>
        <w:rPr>
          <w:sz w:val="20"/>
        </w:rPr>
        <w:t>ETABLISSEMENT SUPPORT DU GHT PLAINE DE FRANCE</w:t>
      </w:r>
    </w:p>
    <w:p>
      <w:pPr>
        <w:jc w:val="center"/>
      </w:pPr>
      <w:r>
        <w:t>Direction des Achats</w:t>
      </w:r>
    </w:p>
    <w:p>
      <w:pPr>
        <w:jc w:val="center"/>
      </w:pPr>
      <w:r>
        <w:t>2, rue du Docteur Delafontaine</w:t>
      </w:r>
    </w:p>
    <w:p>
      <w:pPr>
        <w:jc w:val="center"/>
      </w:pPr>
      <w:r>
        <w:t>BP 279</w:t>
      </w:r>
    </w:p>
    <w:p>
      <w:pPr>
        <w:jc w:val="center"/>
      </w:pPr>
      <w:r>
        <w:t>93205 SAINT-DENIS CEDEX</w:t>
      </w:r>
    </w:p>
    <w:p>
      <w:pPr>
        <w:jc w:val="center"/>
      </w:pPr>
    </w:p>
    <w:p>
      <w:pPr>
        <w:tabs>
          <w:tab w:val="left" w:pos="5626"/>
        </w:tabs>
        <w:ind w:right="411"/>
        <w:rPr>
          <w:rFonts w:cs="Calibri"/>
          <w:b/>
          <w:sz w:val="20"/>
          <w:szCs w:val="20"/>
        </w:rPr>
      </w:pPr>
    </w:p>
    <w:p>
      <w:pPr>
        <w:tabs>
          <w:tab w:val="left" w:pos="5626"/>
        </w:tabs>
        <w:ind w:right="411"/>
        <w:jc w:val="center"/>
        <w:rPr>
          <w:rFonts w:cs="Calibri"/>
          <w:b/>
          <w:sz w:val="20"/>
          <w:szCs w:val="20"/>
        </w:rPr>
      </w:pPr>
      <w:r>
        <w:rPr>
          <w:rFonts w:cs="Calibri"/>
          <w:b/>
          <w:sz w:val="20"/>
          <w:szCs w:val="20"/>
        </w:rPr>
        <w:t>Dates de visite :</w:t>
      </w:r>
    </w:p>
    <w:p>
      <w:pPr>
        <w:tabs>
          <w:tab w:val="left" w:pos="5626"/>
        </w:tabs>
        <w:ind w:right="411"/>
        <w:jc w:val="center"/>
        <w:rPr>
          <w:rFonts w:cs="Calibri"/>
          <w:b/>
          <w:sz w:val="20"/>
          <w:szCs w:val="20"/>
        </w:rPr>
      </w:pPr>
    </w:p>
    <w:p>
      <w:pPr>
        <w:jc w:val="center"/>
        <w:rPr>
          <w:rFonts w:ascii="Calibri Light" w:hAnsi="Calibri Light" w:cs="Calibri Light"/>
        </w:rPr>
      </w:pPr>
      <w:r>
        <w:rPr>
          <w:rFonts w:ascii="Calibri Light" w:hAnsi="Calibri Light" w:cs="Calibri Light"/>
        </w:rPr>
        <w:t>Publicité : 04/08/2025</w:t>
      </w:r>
    </w:p>
    <w:p>
      <w:pPr>
        <w:jc w:val="center"/>
        <w:rPr>
          <w:rFonts w:ascii="Calibri Light" w:hAnsi="Calibri Light" w:cs="Calibri Light"/>
        </w:rPr>
      </w:pPr>
      <w:r>
        <w:rPr>
          <w:rFonts w:ascii="Calibri Light" w:hAnsi="Calibri Light" w:cs="Calibri Light"/>
        </w:rPr>
        <w:t>Visite : 09/09/2025</w:t>
      </w:r>
    </w:p>
    <w:p>
      <w:pPr>
        <w:jc w:val="center"/>
        <w:rPr>
          <w:rFonts w:ascii="Calibri Light" w:hAnsi="Calibri Light" w:cs="Calibri Light"/>
        </w:rPr>
      </w:pPr>
      <w:r>
        <w:rPr>
          <w:rFonts w:ascii="Calibri Light" w:hAnsi="Calibri Light" w:cs="Calibri Light"/>
        </w:rPr>
        <w:t>Remise des offres : 26 Septembre 2025</w:t>
      </w:r>
    </w:p>
    <w:p>
      <w:pPr>
        <w:jc w:val="center"/>
        <w:rPr>
          <w:rFonts w:ascii="Calibri Light" w:hAnsi="Calibri Light" w:cs="Calibri Light"/>
        </w:rPr>
      </w:pPr>
      <w:r>
        <w:rPr>
          <w:rFonts w:ascii="Calibri Light" w:hAnsi="Calibri Light" w:cs="Calibri Light"/>
        </w:rPr>
        <w:t>Analyse : 2 semaines</w:t>
      </w:r>
    </w:p>
    <w:p>
      <w:pPr>
        <w:jc w:val="center"/>
        <w:rPr>
          <w:rFonts w:ascii="Calibri Light" w:hAnsi="Calibri Light" w:cs="Calibri Light"/>
        </w:rPr>
      </w:pPr>
      <w:r>
        <w:rPr>
          <w:rFonts w:ascii="Calibri Light" w:hAnsi="Calibri Light" w:cs="Calibri Light"/>
        </w:rPr>
        <w:t>Notification : 10 Octobre 2025</w:t>
      </w:r>
    </w:p>
    <w:p/>
    <w:p>
      <w:pPr>
        <w:jc w:val="center"/>
        <w:rPr>
          <w:rFonts w:ascii="Calibri Light" w:hAnsi="Calibri Light" w:cs="Calibri Light"/>
        </w:rPr>
      </w:pPr>
      <w:r>
        <w:rPr>
          <w:i/>
        </w:rPr>
        <w:br w:type="page"/>
      </w:r>
    </w:p>
    <w:p>
      <w:pPr>
        <w:tabs>
          <w:tab w:val="left" w:pos="5626"/>
        </w:tabs>
        <w:ind w:right="411"/>
        <w:jc w:val="center"/>
        <w:rPr>
          <w:rFonts w:cs="Calibri"/>
          <w:b/>
          <w:sz w:val="28"/>
          <w:szCs w:val="20"/>
        </w:rPr>
      </w:pPr>
      <w:r>
        <w:rPr>
          <w:rFonts w:cs="Calibri"/>
          <w:b/>
          <w:sz w:val="28"/>
          <w:szCs w:val="20"/>
        </w:rPr>
        <w:lastRenderedPageBreak/>
        <w:t>SOMMAIRE</w:t>
      </w:r>
    </w:p>
    <w:p>
      <w:pPr>
        <w:tabs>
          <w:tab w:val="left" w:pos="5626"/>
        </w:tabs>
        <w:ind w:right="411"/>
        <w:jc w:val="center"/>
        <w:rPr>
          <w:rFonts w:cs="Calibri"/>
          <w:b/>
          <w:sz w:val="28"/>
          <w:szCs w:val="20"/>
        </w:rPr>
      </w:pPr>
    </w:p>
    <w:p>
      <w:pPr>
        <w:pStyle w:val="TM1"/>
        <w:tabs>
          <w:tab w:val="right" w:leader="dot" w:pos="9061"/>
        </w:tabs>
        <w:rPr>
          <w:rFonts w:eastAsiaTheme="minorEastAsia" w:cstheme="minorBidi"/>
          <w:b w:val="0"/>
          <w:bCs w:val="0"/>
          <w:caps w:val="0"/>
          <w:noProof/>
          <w:sz w:val="22"/>
          <w:szCs w:val="22"/>
        </w:rPr>
      </w:pPr>
      <w:r>
        <w:rPr>
          <w:rFonts w:cs="Calibri"/>
          <w:b w:val="0"/>
          <w:sz w:val="22"/>
        </w:rPr>
        <w:fldChar w:fldCharType="begin"/>
      </w:r>
      <w:r>
        <w:rPr>
          <w:rFonts w:cs="Calibri"/>
          <w:b w:val="0"/>
          <w:sz w:val="22"/>
        </w:rPr>
        <w:instrText xml:space="preserve"> TOC \h \z \t "Titre 1;2;CHAPITRE;1" </w:instrText>
      </w:r>
      <w:r>
        <w:rPr>
          <w:rFonts w:cs="Calibri"/>
          <w:b w:val="0"/>
          <w:sz w:val="22"/>
        </w:rPr>
        <w:fldChar w:fldCharType="separate"/>
      </w:r>
      <w:hyperlink w:anchor="_Toc205212166" w:history="1">
        <w:r>
          <w:rPr>
            <w:rStyle w:val="Lienhypertexte"/>
            <w:caps w:val="0"/>
            <w:noProof/>
          </w:rPr>
          <w:t>PREAMBULE :</w:t>
        </w:r>
        <w:r>
          <w:rPr>
            <w:caps w:val="0"/>
            <w:noProof/>
            <w:webHidden/>
          </w:rPr>
          <w:tab/>
        </w:r>
        <w:r>
          <w:rPr>
            <w:noProof/>
            <w:webHidden/>
          </w:rPr>
          <w:fldChar w:fldCharType="begin"/>
        </w:r>
        <w:r>
          <w:rPr>
            <w:noProof/>
            <w:webHidden/>
          </w:rPr>
          <w:instrText xml:space="preserve"> PAGEREF _Toc205212166 \h </w:instrText>
        </w:r>
        <w:r>
          <w:rPr>
            <w:noProof/>
            <w:webHidden/>
          </w:rPr>
        </w:r>
        <w:r>
          <w:rPr>
            <w:noProof/>
            <w:webHidden/>
          </w:rPr>
          <w:fldChar w:fldCharType="separate"/>
        </w:r>
        <w:r>
          <w:rPr>
            <w:caps w:val="0"/>
            <w:noProof/>
            <w:webHidden/>
          </w:rPr>
          <w:t>3</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05212167" w:history="1">
        <w:r>
          <w:rPr>
            <w:rStyle w:val="Lienhypertexte"/>
            <w:noProof/>
          </w:rPr>
          <w:t>ARTICLE 1</w:t>
        </w:r>
        <w:r>
          <w:rPr>
            <w:rFonts w:eastAsiaTheme="minorEastAsia" w:cstheme="minorBidi"/>
            <w:smallCaps w:val="0"/>
            <w:noProof/>
            <w:sz w:val="22"/>
            <w:szCs w:val="22"/>
          </w:rPr>
          <w:tab/>
        </w:r>
        <w:r>
          <w:rPr>
            <w:rStyle w:val="Lienhypertexte"/>
            <w:noProof/>
          </w:rPr>
          <w:t>OBJET DE L’ACCORD-CADRE</w:t>
        </w:r>
        <w:r>
          <w:rPr>
            <w:noProof/>
            <w:webHidden/>
          </w:rPr>
          <w:tab/>
        </w:r>
        <w:r>
          <w:rPr>
            <w:noProof/>
            <w:webHidden/>
          </w:rPr>
          <w:fldChar w:fldCharType="begin"/>
        </w:r>
        <w:r>
          <w:rPr>
            <w:noProof/>
            <w:webHidden/>
          </w:rPr>
          <w:instrText xml:space="preserve"> PAGEREF _Toc205212167 \h </w:instrText>
        </w:r>
        <w:r>
          <w:rPr>
            <w:noProof/>
            <w:webHidden/>
          </w:rPr>
        </w:r>
        <w:r>
          <w:rPr>
            <w:noProof/>
            <w:webHidden/>
          </w:rPr>
          <w:fldChar w:fldCharType="separate"/>
        </w:r>
        <w:r>
          <w:rPr>
            <w:noProof/>
            <w:webHidden/>
          </w:rPr>
          <w:t>4</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05212168" w:history="1">
        <w:r>
          <w:rPr>
            <w:rStyle w:val="Lienhypertexte"/>
            <w:noProof/>
          </w:rPr>
          <w:t>ARTICLE 2</w:t>
        </w:r>
        <w:r>
          <w:rPr>
            <w:rFonts w:eastAsiaTheme="minorEastAsia" w:cstheme="minorBidi"/>
            <w:smallCaps w:val="0"/>
            <w:noProof/>
            <w:sz w:val="22"/>
            <w:szCs w:val="22"/>
          </w:rPr>
          <w:tab/>
        </w:r>
        <w:r>
          <w:rPr>
            <w:rStyle w:val="Lienhypertexte"/>
            <w:noProof/>
          </w:rPr>
          <w:t>DESIGNATION DES PARTIES</w:t>
        </w:r>
        <w:r>
          <w:rPr>
            <w:noProof/>
            <w:webHidden/>
          </w:rPr>
          <w:tab/>
        </w:r>
        <w:r>
          <w:rPr>
            <w:noProof/>
            <w:webHidden/>
          </w:rPr>
          <w:fldChar w:fldCharType="begin"/>
        </w:r>
        <w:r>
          <w:rPr>
            <w:noProof/>
            <w:webHidden/>
          </w:rPr>
          <w:instrText xml:space="preserve"> PAGEREF _Toc205212168 \h </w:instrText>
        </w:r>
        <w:r>
          <w:rPr>
            <w:noProof/>
            <w:webHidden/>
          </w:rPr>
        </w:r>
        <w:r>
          <w:rPr>
            <w:noProof/>
            <w:webHidden/>
          </w:rPr>
          <w:fldChar w:fldCharType="separate"/>
        </w:r>
        <w:r>
          <w:rPr>
            <w:noProof/>
            <w:webHidden/>
          </w:rPr>
          <w:t>4</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05212169" w:history="1">
        <w:r>
          <w:rPr>
            <w:rStyle w:val="Lienhypertexte"/>
            <w:noProof/>
          </w:rPr>
          <w:t>ARTICLE 3</w:t>
        </w:r>
        <w:r>
          <w:rPr>
            <w:rFonts w:eastAsiaTheme="minorEastAsia" w:cstheme="minorBidi"/>
            <w:smallCaps w:val="0"/>
            <w:noProof/>
            <w:sz w:val="22"/>
            <w:szCs w:val="22"/>
          </w:rPr>
          <w:tab/>
        </w:r>
        <w:r>
          <w:rPr>
            <w:rStyle w:val="Lienhypertexte"/>
            <w:noProof/>
          </w:rPr>
          <w:t>LIEU D’EXECUTION</w:t>
        </w:r>
        <w:r>
          <w:rPr>
            <w:noProof/>
            <w:webHidden/>
          </w:rPr>
          <w:tab/>
        </w:r>
        <w:r>
          <w:rPr>
            <w:noProof/>
            <w:webHidden/>
          </w:rPr>
          <w:fldChar w:fldCharType="begin"/>
        </w:r>
        <w:r>
          <w:rPr>
            <w:noProof/>
            <w:webHidden/>
          </w:rPr>
          <w:instrText xml:space="preserve"> PAGEREF _Toc205212169 \h </w:instrText>
        </w:r>
        <w:r>
          <w:rPr>
            <w:noProof/>
            <w:webHidden/>
          </w:rPr>
        </w:r>
        <w:r>
          <w:rPr>
            <w:noProof/>
            <w:webHidden/>
          </w:rPr>
          <w:fldChar w:fldCharType="separate"/>
        </w:r>
        <w:r>
          <w:rPr>
            <w:noProof/>
            <w:webHidden/>
          </w:rPr>
          <w:t>5</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05212170" w:history="1">
        <w:r>
          <w:rPr>
            <w:rStyle w:val="Lienhypertexte"/>
            <w:noProof/>
          </w:rPr>
          <w:t>ARTICLE 4</w:t>
        </w:r>
        <w:r>
          <w:rPr>
            <w:rFonts w:eastAsiaTheme="minorEastAsia" w:cstheme="minorBidi"/>
            <w:smallCaps w:val="0"/>
            <w:noProof/>
            <w:sz w:val="22"/>
            <w:szCs w:val="22"/>
          </w:rPr>
          <w:tab/>
        </w:r>
        <w:r>
          <w:rPr>
            <w:rStyle w:val="Lienhypertexte"/>
            <w:noProof/>
          </w:rPr>
          <w:t>FORME DU MARCHE</w:t>
        </w:r>
        <w:r>
          <w:rPr>
            <w:noProof/>
            <w:webHidden/>
          </w:rPr>
          <w:tab/>
        </w:r>
        <w:r>
          <w:rPr>
            <w:noProof/>
            <w:webHidden/>
          </w:rPr>
          <w:fldChar w:fldCharType="begin"/>
        </w:r>
        <w:r>
          <w:rPr>
            <w:noProof/>
            <w:webHidden/>
          </w:rPr>
          <w:instrText xml:space="preserve"> PAGEREF _Toc205212170 \h </w:instrText>
        </w:r>
        <w:r>
          <w:rPr>
            <w:noProof/>
            <w:webHidden/>
          </w:rPr>
        </w:r>
        <w:r>
          <w:rPr>
            <w:noProof/>
            <w:webHidden/>
          </w:rPr>
          <w:fldChar w:fldCharType="separate"/>
        </w:r>
        <w:r>
          <w:rPr>
            <w:noProof/>
            <w:webHidden/>
          </w:rPr>
          <w:t>5</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05212171" w:history="1">
        <w:r>
          <w:rPr>
            <w:rStyle w:val="Lienhypertexte"/>
            <w:noProof/>
          </w:rPr>
          <w:t>ARTICLE 5</w:t>
        </w:r>
        <w:r>
          <w:rPr>
            <w:rFonts w:eastAsiaTheme="minorEastAsia" w:cstheme="minorBidi"/>
            <w:smallCaps w:val="0"/>
            <w:noProof/>
            <w:sz w:val="22"/>
            <w:szCs w:val="22"/>
          </w:rPr>
          <w:tab/>
        </w:r>
        <w:r>
          <w:rPr>
            <w:rStyle w:val="Lienhypertexte"/>
            <w:noProof/>
          </w:rPr>
          <w:t>DUREE DE L’ACCORD-CADRE</w:t>
        </w:r>
        <w:r>
          <w:rPr>
            <w:noProof/>
            <w:webHidden/>
          </w:rPr>
          <w:tab/>
        </w:r>
        <w:r>
          <w:rPr>
            <w:noProof/>
            <w:webHidden/>
          </w:rPr>
          <w:fldChar w:fldCharType="begin"/>
        </w:r>
        <w:r>
          <w:rPr>
            <w:noProof/>
            <w:webHidden/>
          </w:rPr>
          <w:instrText xml:space="preserve"> PAGEREF _Toc205212171 \h </w:instrText>
        </w:r>
        <w:r>
          <w:rPr>
            <w:noProof/>
            <w:webHidden/>
          </w:rPr>
        </w:r>
        <w:r>
          <w:rPr>
            <w:noProof/>
            <w:webHidden/>
          </w:rPr>
          <w:fldChar w:fldCharType="separate"/>
        </w:r>
        <w:r>
          <w:rPr>
            <w:noProof/>
            <w:webHidden/>
          </w:rPr>
          <w:t>5</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05212172" w:history="1">
        <w:r>
          <w:rPr>
            <w:rStyle w:val="Lienhypertexte"/>
            <w:noProof/>
          </w:rPr>
          <w:t>ARTICLE 6</w:t>
        </w:r>
        <w:r>
          <w:rPr>
            <w:rFonts w:eastAsiaTheme="minorEastAsia" w:cstheme="minorBidi"/>
            <w:smallCaps w:val="0"/>
            <w:noProof/>
            <w:sz w:val="22"/>
            <w:szCs w:val="22"/>
          </w:rPr>
          <w:tab/>
        </w:r>
        <w:r>
          <w:rPr>
            <w:rStyle w:val="Lienhypertexte"/>
            <w:noProof/>
          </w:rPr>
          <w:t>ALLOTISSEMENT</w:t>
        </w:r>
        <w:r>
          <w:rPr>
            <w:noProof/>
            <w:webHidden/>
          </w:rPr>
          <w:tab/>
        </w:r>
        <w:r>
          <w:rPr>
            <w:noProof/>
            <w:webHidden/>
          </w:rPr>
          <w:fldChar w:fldCharType="begin"/>
        </w:r>
        <w:r>
          <w:rPr>
            <w:noProof/>
            <w:webHidden/>
          </w:rPr>
          <w:instrText xml:space="preserve"> PAGEREF _Toc205212172 \h </w:instrText>
        </w:r>
        <w:r>
          <w:rPr>
            <w:noProof/>
            <w:webHidden/>
          </w:rPr>
        </w:r>
        <w:r>
          <w:rPr>
            <w:noProof/>
            <w:webHidden/>
          </w:rPr>
          <w:fldChar w:fldCharType="separate"/>
        </w:r>
        <w:r>
          <w:rPr>
            <w:noProof/>
            <w:webHidden/>
          </w:rPr>
          <w:t>5</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05212173" w:history="1">
        <w:r>
          <w:rPr>
            <w:rStyle w:val="Lienhypertexte"/>
            <w:noProof/>
          </w:rPr>
          <w:t>ARTICLE 7</w:t>
        </w:r>
        <w:r>
          <w:rPr>
            <w:rFonts w:eastAsiaTheme="minorEastAsia" w:cstheme="minorBidi"/>
            <w:smallCaps w:val="0"/>
            <w:noProof/>
            <w:sz w:val="22"/>
            <w:szCs w:val="22"/>
          </w:rPr>
          <w:tab/>
        </w:r>
        <w:r>
          <w:rPr>
            <w:rStyle w:val="Lienhypertexte"/>
            <w:noProof/>
          </w:rPr>
          <w:t>VARIANTES ET PRESTATIONS SUPPLEMENTAIRES EVENTUELLES</w:t>
        </w:r>
        <w:r>
          <w:rPr>
            <w:noProof/>
            <w:webHidden/>
          </w:rPr>
          <w:tab/>
        </w:r>
        <w:r>
          <w:rPr>
            <w:noProof/>
            <w:webHidden/>
          </w:rPr>
          <w:fldChar w:fldCharType="begin"/>
        </w:r>
        <w:r>
          <w:rPr>
            <w:noProof/>
            <w:webHidden/>
          </w:rPr>
          <w:instrText xml:space="preserve"> PAGEREF _Toc205212173 \h </w:instrText>
        </w:r>
        <w:r>
          <w:rPr>
            <w:noProof/>
            <w:webHidden/>
          </w:rPr>
        </w:r>
        <w:r>
          <w:rPr>
            <w:noProof/>
            <w:webHidden/>
          </w:rPr>
          <w:fldChar w:fldCharType="separate"/>
        </w:r>
        <w:r>
          <w:rPr>
            <w:noProof/>
            <w:webHidden/>
          </w:rPr>
          <w:t>6</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05212174" w:history="1">
        <w:r>
          <w:rPr>
            <w:rStyle w:val="Lienhypertexte"/>
            <w:noProof/>
          </w:rPr>
          <w:t>ARTICLE 8</w:t>
        </w:r>
        <w:r>
          <w:rPr>
            <w:rFonts w:eastAsiaTheme="minorEastAsia" w:cstheme="minorBidi"/>
            <w:smallCaps w:val="0"/>
            <w:noProof/>
            <w:sz w:val="22"/>
            <w:szCs w:val="22"/>
          </w:rPr>
          <w:tab/>
        </w:r>
        <w:r>
          <w:rPr>
            <w:rStyle w:val="Lienhypertexte"/>
            <w:noProof/>
          </w:rPr>
          <w:t>NOMENCLATURE COMMUNAUTAIRE</w:t>
        </w:r>
        <w:r>
          <w:rPr>
            <w:noProof/>
            <w:webHidden/>
          </w:rPr>
          <w:tab/>
        </w:r>
        <w:r>
          <w:rPr>
            <w:noProof/>
            <w:webHidden/>
          </w:rPr>
          <w:fldChar w:fldCharType="begin"/>
        </w:r>
        <w:r>
          <w:rPr>
            <w:noProof/>
            <w:webHidden/>
          </w:rPr>
          <w:instrText xml:space="preserve"> PAGEREF _Toc205212174 \h </w:instrText>
        </w:r>
        <w:r>
          <w:rPr>
            <w:noProof/>
            <w:webHidden/>
          </w:rPr>
        </w:r>
        <w:r>
          <w:rPr>
            <w:noProof/>
            <w:webHidden/>
          </w:rPr>
          <w:fldChar w:fldCharType="separate"/>
        </w:r>
        <w:r>
          <w:rPr>
            <w:noProof/>
            <w:webHidden/>
          </w:rPr>
          <w:t>6</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05212175" w:history="1">
        <w:r>
          <w:rPr>
            <w:rStyle w:val="Lienhypertexte"/>
            <w:noProof/>
          </w:rPr>
          <w:t>ARTICLE 9</w:t>
        </w:r>
        <w:r>
          <w:rPr>
            <w:rFonts w:eastAsiaTheme="minorEastAsia" w:cstheme="minorBidi"/>
            <w:smallCaps w:val="0"/>
            <w:noProof/>
            <w:sz w:val="22"/>
            <w:szCs w:val="22"/>
          </w:rPr>
          <w:tab/>
        </w:r>
        <w:r>
          <w:rPr>
            <w:rStyle w:val="Lienhypertexte"/>
            <w:noProof/>
          </w:rPr>
          <w:t>CONTENU DU DOSSIER DE CONSULTATION</w:t>
        </w:r>
        <w:r>
          <w:rPr>
            <w:noProof/>
            <w:webHidden/>
          </w:rPr>
          <w:tab/>
        </w:r>
        <w:r>
          <w:rPr>
            <w:noProof/>
            <w:webHidden/>
          </w:rPr>
          <w:fldChar w:fldCharType="begin"/>
        </w:r>
        <w:r>
          <w:rPr>
            <w:noProof/>
            <w:webHidden/>
          </w:rPr>
          <w:instrText xml:space="preserve"> PAGEREF _Toc205212175 \h </w:instrText>
        </w:r>
        <w:r>
          <w:rPr>
            <w:noProof/>
            <w:webHidden/>
          </w:rPr>
        </w:r>
        <w:r>
          <w:rPr>
            <w:noProof/>
            <w:webHidden/>
          </w:rPr>
          <w:fldChar w:fldCharType="separate"/>
        </w:r>
        <w:r>
          <w:rPr>
            <w:noProof/>
            <w:webHidden/>
          </w:rPr>
          <w:t>6</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05212176" w:history="1">
        <w:r>
          <w:rPr>
            <w:rStyle w:val="Lienhypertexte"/>
            <w:noProof/>
          </w:rPr>
          <w:t>ARTICLE 10</w:t>
        </w:r>
        <w:r>
          <w:rPr>
            <w:rFonts w:eastAsiaTheme="minorEastAsia" w:cstheme="minorBidi"/>
            <w:smallCaps w:val="0"/>
            <w:noProof/>
            <w:sz w:val="22"/>
            <w:szCs w:val="22"/>
          </w:rPr>
          <w:tab/>
        </w:r>
        <w:r>
          <w:rPr>
            <w:rStyle w:val="Lienhypertexte"/>
            <w:noProof/>
          </w:rPr>
          <w:t>MISE A DISPOSITION DU DOSSIER DE CONSULTATION</w:t>
        </w:r>
        <w:r>
          <w:rPr>
            <w:noProof/>
            <w:webHidden/>
          </w:rPr>
          <w:tab/>
        </w:r>
        <w:r>
          <w:rPr>
            <w:noProof/>
            <w:webHidden/>
          </w:rPr>
          <w:fldChar w:fldCharType="begin"/>
        </w:r>
        <w:r>
          <w:rPr>
            <w:noProof/>
            <w:webHidden/>
          </w:rPr>
          <w:instrText xml:space="preserve"> PAGEREF _Toc205212176 \h </w:instrText>
        </w:r>
        <w:r>
          <w:rPr>
            <w:noProof/>
            <w:webHidden/>
          </w:rPr>
        </w:r>
        <w:r>
          <w:rPr>
            <w:noProof/>
            <w:webHidden/>
          </w:rPr>
          <w:fldChar w:fldCharType="separate"/>
        </w:r>
        <w:r>
          <w:rPr>
            <w:noProof/>
            <w:webHidden/>
          </w:rPr>
          <w:t>6</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05212177" w:history="1">
        <w:r>
          <w:rPr>
            <w:rStyle w:val="Lienhypertexte"/>
            <w:noProof/>
          </w:rPr>
          <w:t>ARTICLE 11</w:t>
        </w:r>
        <w:r>
          <w:rPr>
            <w:rFonts w:eastAsiaTheme="minorEastAsia" w:cstheme="minorBidi"/>
            <w:smallCaps w:val="0"/>
            <w:noProof/>
            <w:sz w:val="22"/>
            <w:szCs w:val="22"/>
          </w:rPr>
          <w:tab/>
        </w:r>
        <w:r>
          <w:rPr>
            <w:rStyle w:val="Lienhypertexte"/>
            <w:noProof/>
          </w:rPr>
          <w:t>MODIFICATIONS DE DETAIL AU DOSSIER DE CONSULTATION</w:t>
        </w:r>
        <w:r>
          <w:rPr>
            <w:noProof/>
            <w:webHidden/>
          </w:rPr>
          <w:tab/>
        </w:r>
        <w:r>
          <w:rPr>
            <w:noProof/>
            <w:webHidden/>
          </w:rPr>
          <w:fldChar w:fldCharType="begin"/>
        </w:r>
        <w:r>
          <w:rPr>
            <w:noProof/>
            <w:webHidden/>
          </w:rPr>
          <w:instrText xml:space="preserve"> PAGEREF _Toc205212177 \h </w:instrText>
        </w:r>
        <w:r>
          <w:rPr>
            <w:noProof/>
            <w:webHidden/>
          </w:rPr>
        </w:r>
        <w:r>
          <w:rPr>
            <w:noProof/>
            <w:webHidden/>
          </w:rPr>
          <w:fldChar w:fldCharType="separate"/>
        </w:r>
        <w:r>
          <w:rPr>
            <w:noProof/>
            <w:webHidden/>
          </w:rPr>
          <w:t>7</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05212178" w:history="1">
        <w:r>
          <w:rPr>
            <w:rStyle w:val="Lienhypertexte"/>
            <w:noProof/>
          </w:rPr>
          <w:t>ARTICLE 12</w:t>
        </w:r>
        <w:r>
          <w:rPr>
            <w:rFonts w:eastAsiaTheme="minorEastAsia" w:cstheme="minorBidi"/>
            <w:smallCaps w:val="0"/>
            <w:noProof/>
            <w:sz w:val="22"/>
            <w:szCs w:val="22"/>
          </w:rPr>
          <w:tab/>
        </w:r>
        <w:r>
          <w:rPr>
            <w:rStyle w:val="Lienhypertexte"/>
            <w:noProof/>
          </w:rPr>
          <w:t>RENSEIGNEMENTS COMPLEMENTAIRES</w:t>
        </w:r>
        <w:r>
          <w:rPr>
            <w:noProof/>
            <w:webHidden/>
          </w:rPr>
          <w:tab/>
        </w:r>
        <w:r>
          <w:rPr>
            <w:noProof/>
            <w:webHidden/>
          </w:rPr>
          <w:fldChar w:fldCharType="begin"/>
        </w:r>
        <w:r>
          <w:rPr>
            <w:noProof/>
            <w:webHidden/>
          </w:rPr>
          <w:instrText xml:space="preserve"> PAGEREF _Toc205212178 \h </w:instrText>
        </w:r>
        <w:r>
          <w:rPr>
            <w:noProof/>
            <w:webHidden/>
          </w:rPr>
        </w:r>
        <w:r>
          <w:rPr>
            <w:noProof/>
            <w:webHidden/>
          </w:rPr>
          <w:fldChar w:fldCharType="separate"/>
        </w:r>
        <w:r>
          <w:rPr>
            <w:noProof/>
            <w:webHidden/>
          </w:rPr>
          <w:t>7</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05212179" w:history="1">
        <w:r>
          <w:rPr>
            <w:rStyle w:val="Lienhypertexte"/>
            <w:noProof/>
          </w:rPr>
          <w:t>ARTICLE 13</w:t>
        </w:r>
        <w:r>
          <w:rPr>
            <w:rFonts w:eastAsiaTheme="minorEastAsia" w:cstheme="minorBidi"/>
            <w:smallCaps w:val="0"/>
            <w:noProof/>
            <w:sz w:val="22"/>
            <w:szCs w:val="22"/>
          </w:rPr>
          <w:tab/>
        </w:r>
        <w:r>
          <w:rPr>
            <w:rStyle w:val="Lienhypertexte"/>
            <w:noProof/>
          </w:rPr>
          <w:t>VISITE DU SITE</w:t>
        </w:r>
        <w:r>
          <w:rPr>
            <w:noProof/>
            <w:webHidden/>
          </w:rPr>
          <w:tab/>
        </w:r>
        <w:r>
          <w:rPr>
            <w:noProof/>
            <w:webHidden/>
          </w:rPr>
          <w:fldChar w:fldCharType="begin"/>
        </w:r>
        <w:r>
          <w:rPr>
            <w:noProof/>
            <w:webHidden/>
          </w:rPr>
          <w:instrText xml:space="preserve"> PAGEREF _Toc205212179 \h </w:instrText>
        </w:r>
        <w:r>
          <w:rPr>
            <w:noProof/>
            <w:webHidden/>
          </w:rPr>
        </w:r>
        <w:r>
          <w:rPr>
            <w:noProof/>
            <w:webHidden/>
          </w:rPr>
          <w:fldChar w:fldCharType="separate"/>
        </w:r>
        <w:r>
          <w:rPr>
            <w:noProof/>
            <w:webHidden/>
          </w:rPr>
          <w:t>7</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05212180" w:history="1">
        <w:r>
          <w:rPr>
            <w:rStyle w:val="Lienhypertexte"/>
            <w:noProof/>
          </w:rPr>
          <w:t>ARTICLE 14</w:t>
        </w:r>
        <w:r>
          <w:rPr>
            <w:rFonts w:eastAsiaTheme="minorEastAsia" w:cstheme="minorBidi"/>
            <w:smallCaps w:val="0"/>
            <w:noProof/>
            <w:sz w:val="22"/>
            <w:szCs w:val="22"/>
          </w:rPr>
          <w:tab/>
        </w:r>
        <w:r>
          <w:rPr>
            <w:rStyle w:val="Lienhypertexte"/>
            <w:noProof/>
          </w:rPr>
          <w:t>DOSSIER A PRODUIRE PAR LES CANDIDATS</w:t>
        </w:r>
        <w:r>
          <w:rPr>
            <w:noProof/>
            <w:webHidden/>
          </w:rPr>
          <w:tab/>
        </w:r>
        <w:r>
          <w:rPr>
            <w:noProof/>
            <w:webHidden/>
          </w:rPr>
          <w:fldChar w:fldCharType="begin"/>
        </w:r>
        <w:r>
          <w:rPr>
            <w:noProof/>
            <w:webHidden/>
          </w:rPr>
          <w:instrText xml:space="preserve"> PAGEREF _Toc205212180 \h </w:instrText>
        </w:r>
        <w:r>
          <w:rPr>
            <w:noProof/>
            <w:webHidden/>
          </w:rPr>
        </w:r>
        <w:r>
          <w:rPr>
            <w:noProof/>
            <w:webHidden/>
          </w:rPr>
          <w:fldChar w:fldCharType="separate"/>
        </w:r>
        <w:r>
          <w:rPr>
            <w:noProof/>
            <w:webHidden/>
          </w:rPr>
          <w:t>8</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05212181" w:history="1">
        <w:r>
          <w:rPr>
            <w:rStyle w:val="Lienhypertexte"/>
            <w:noProof/>
          </w:rPr>
          <w:t>ARTICLE 15</w:t>
        </w:r>
        <w:r>
          <w:rPr>
            <w:rFonts w:eastAsiaTheme="minorEastAsia" w:cstheme="minorBidi"/>
            <w:smallCaps w:val="0"/>
            <w:noProof/>
            <w:sz w:val="22"/>
            <w:szCs w:val="22"/>
          </w:rPr>
          <w:tab/>
        </w:r>
        <w:r>
          <w:rPr>
            <w:rStyle w:val="Lienhypertexte"/>
            <w:noProof/>
          </w:rPr>
          <w:t>CONDITIONS D’ENVOI DES OFFRES</w:t>
        </w:r>
        <w:r>
          <w:rPr>
            <w:noProof/>
            <w:webHidden/>
          </w:rPr>
          <w:tab/>
        </w:r>
        <w:r>
          <w:rPr>
            <w:noProof/>
            <w:webHidden/>
          </w:rPr>
          <w:fldChar w:fldCharType="begin"/>
        </w:r>
        <w:r>
          <w:rPr>
            <w:noProof/>
            <w:webHidden/>
          </w:rPr>
          <w:instrText xml:space="preserve"> PAGEREF _Toc205212181 \h </w:instrText>
        </w:r>
        <w:r>
          <w:rPr>
            <w:noProof/>
            <w:webHidden/>
          </w:rPr>
        </w:r>
        <w:r>
          <w:rPr>
            <w:noProof/>
            <w:webHidden/>
          </w:rPr>
          <w:fldChar w:fldCharType="separate"/>
        </w:r>
        <w:r>
          <w:rPr>
            <w:noProof/>
            <w:webHidden/>
          </w:rPr>
          <w:t>9</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05212182" w:history="1">
        <w:r>
          <w:rPr>
            <w:rStyle w:val="Lienhypertexte"/>
            <w:noProof/>
          </w:rPr>
          <w:t>ARTICLE 16</w:t>
        </w:r>
        <w:r>
          <w:rPr>
            <w:rFonts w:eastAsiaTheme="minorEastAsia" w:cstheme="minorBidi"/>
            <w:smallCaps w:val="0"/>
            <w:noProof/>
            <w:sz w:val="22"/>
            <w:szCs w:val="22"/>
          </w:rPr>
          <w:tab/>
        </w:r>
        <w:r>
          <w:rPr>
            <w:rStyle w:val="Lienhypertexte"/>
            <w:noProof/>
          </w:rPr>
          <w:t>PRESENTATION DES DOSSIERS</w:t>
        </w:r>
        <w:r>
          <w:rPr>
            <w:noProof/>
            <w:webHidden/>
          </w:rPr>
          <w:tab/>
        </w:r>
        <w:r>
          <w:rPr>
            <w:noProof/>
            <w:webHidden/>
          </w:rPr>
          <w:fldChar w:fldCharType="begin"/>
        </w:r>
        <w:r>
          <w:rPr>
            <w:noProof/>
            <w:webHidden/>
          </w:rPr>
          <w:instrText xml:space="preserve"> PAGEREF _Toc205212182 \h </w:instrText>
        </w:r>
        <w:r>
          <w:rPr>
            <w:noProof/>
            <w:webHidden/>
          </w:rPr>
        </w:r>
        <w:r>
          <w:rPr>
            <w:noProof/>
            <w:webHidden/>
          </w:rPr>
          <w:fldChar w:fldCharType="separate"/>
        </w:r>
        <w:r>
          <w:rPr>
            <w:noProof/>
            <w:webHidden/>
          </w:rPr>
          <w:t>10</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05212183" w:history="1">
        <w:r>
          <w:rPr>
            <w:rStyle w:val="Lienhypertexte"/>
            <w:noProof/>
          </w:rPr>
          <w:t>ARTICLE 17</w:t>
        </w:r>
        <w:r>
          <w:rPr>
            <w:rFonts w:eastAsiaTheme="minorEastAsia" w:cstheme="minorBidi"/>
            <w:smallCaps w:val="0"/>
            <w:noProof/>
            <w:sz w:val="22"/>
            <w:szCs w:val="22"/>
          </w:rPr>
          <w:tab/>
        </w:r>
        <w:r>
          <w:rPr>
            <w:rStyle w:val="Lienhypertexte"/>
            <w:noProof/>
          </w:rPr>
          <w:t>CRITERES DE JUGEMENT DES OFFRES</w:t>
        </w:r>
        <w:r>
          <w:rPr>
            <w:noProof/>
            <w:webHidden/>
          </w:rPr>
          <w:tab/>
        </w:r>
        <w:r>
          <w:rPr>
            <w:noProof/>
            <w:webHidden/>
          </w:rPr>
          <w:fldChar w:fldCharType="begin"/>
        </w:r>
        <w:r>
          <w:rPr>
            <w:noProof/>
            <w:webHidden/>
          </w:rPr>
          <w:instrText xml:space="preserve"> PAGEREF _Toc205212183 \h </w:instrText>
        </w:r>
        <w:r>
          <w:rPr>
            <w:noProof/>
            <w:webHidden/>
          </w:rPr>
        </w:r>
        <w:r>
          <w:rPr>
            <w:noProof/>
            <w:webHidden/>
          </w:rPr>
          <w:fldChar w:fldCharType="separate"/>
        </w:r>
        <w:r>
          <w:rPr>
            <w:noProof/>
            <w:webHidden/>
          </w:rPr>
          <w:t>12</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05212184" w:history="1">
        <w:r>
          <w:rPr>
            <w:rStyle w:val="Lienhypertexte"/>
            <w:noProof/>
          </w:rPr>
          <w:t>ARTICLE 18</w:t>
        </w:r>
        <w:r>
          <w:rPr>
            <w:rFonts w:eastAsiaTheme="minorEastAsia" w:cstheme="minorBidi"/>
            <w:smallCaps w:val="0"/>
            <w:noProof/>
            <w:sz w:val="22"/>
            <w:szCs w:val="22"/>
          </w:rPr>
          <w:tab/>
        </w:r>
        <w:r>
          <w:rPr>
            <w:rStyle w:val="Lienhypertexte"/>
            <w:noProof/>
          </w:rPr>
          <w:t>JUGEMENTS ET CLASSEMENTS DES OFFRES</w:t>
        </w:r>
        <w:r>
          <w:rPr>
            <w:noProof/>
            <w:webHidden/>
          </w:rPr>
          <w:tab/>
        </w:r>
        <w:r>
          <w:rPr>
            <w:noProof/>
            <w:webHidden/>
          </w:rPr>
          <w:fldChar w:fldCharType="begin"/>
        </w:r>
        <w:r>
          <w:rPr>
            <w:noProof/>
            <w:webHidden/>
          </w:rPr>
          <w:instrText xml:space="preserve"> PAGEREF _Toc205212184 \h </w:instrText>
        </w:r>
        <w:r>
          <w:rPr>
            <w:noProof/>
            <w:webHidden/>
          </w:rPr>
        </w:r>
        <w:r>
          <w:rPr>
            <w:noProof/>
            <w:webHidden/>
          </w:rPr>
          <w:fldChar w:fldCharType="separate"/>
        </w:r>
        <w:r>
          <w:rPr>
            <w:noProof/>
            <w:webHidden/>
          </w:rPr>
          <w:t>12</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05212185" w:history="1">
        <w:r>
          <w:rPr>
            <w:rStyle w:val="Lienhypertexte"/>
            <w:noProof/>
          </w:rPr>
          <w:t>ARTICLE 19</w:t>
        </w:r>
        <w:r>
          <w:rPr>
            <w:rFonts w:eastAsiaTheme="minorEastAsia" w:cstheme="minorBidi"/>
            <w:smallCaps w:val="0"/>
            <w:noProof/>
            <w:sz w:val="22"/>
            <w:szCs w:val="22"/>
          </w:rPr>
          <w:tab/>
        </w:r>
        <w:r>
          <w:rPr>
            <w:rStyle w:val="Lienhypertexte"/>
            <w:noProof/>
          </w:rPr>
          <w:t>DELAI</w:t>
        </w:r>
        <w:r>
          <w:rPr>
            <w:rStyle w:val="Lienhypertexte"/>
            <w:noProof/>
            <w:spacing w:val="-2"/>
          </w:rPr>
          <w:t xml:space="preserve"> </w:t>
        </w:r>
        <w:r>
          <w:rPr>
            <w:rStyle w:val="Lienhypertexte"/>
            <w:noProof/>
          </w:rPr>
          <w:t>DE</w:t>
        </w:r>
        <w:r>
          <w:rPr>
            <w:rStyle w:val="Lienhypertexte"/>
            <w:noProof/>
            <w:spacing w:val="-3"/>
          </w:rPr>
          <w:t xml:space="preserve"> </w:t>
        </w:r>
        <w:r>
          <w:rPr>
            <w:rStyle w:val="Lienhypertexte"/>
            <w:noProof/>
          </w:rPr>
          <w:t>VALIDITE</w:t>
        </w:r>
        <w:r>
          <w:rPr>
            <w:rStyle w:val="Lienhypertexte"/>
            <w:noProof/>
            <w:spacing w:val="-6"/>
          </w:rPr>
          <w:t xml:space="preserve"> </w:t>
        </w:r>
        <w:r>
          <w:rPr>
            <w:rStyle w:val="Lienhypertexte"/>
            <w:noProof/>
          </w:rPr>
          <w:t>DES</w:t>
        </w:r>
        <w:r>
          <w:rPr>
            <w:rStyle w:val="Lienhypertexte"/>
            <w:noProof/>
            <w:spacing w:val="-8"/>
          </w:rPr>
          <w:t xml:space="preserve"> </w:t>
        </w:r>
        <w:r>
          <w:rPr>
            <w:rStyle w:val="Lienhypertexte"/>
            <w:noProof/>
            <w:spacing w:val="-2"/>
          </w:rPr>
          <w:t>OFFRES</w:t>
        </w:r>
        <w:r>
          <w:rPr>
            <w:noProof/>
            <w:webHidden/>
          </w:rPr>
          <w:tab/>
        </w:r>
        <w:r>
          <w:rPr>
            <w:noProof/>
            <w:webHidden/>
          </w:rPr>
          <w:fldChar w:fldCharType="begin"/>
        </w:r>
        <w:r>
          <w:rPr>
            <w:noProof/>
            <w:webHidden/>
          </w:rPr>
          <w:instrText xml:space="preserve"> PAGEREF _Toc205212185 \h </w:instrText>
        </w:r>
        <w:r>
          <w:rPr>
            <w:noProof/>
            <w:webHidden/>
          </w:rPr>
        </w:r>
        <w:r>
          <w:rPr>
            <w:noProof/>
            <w:webHidden/>
          </w:rPr>
          <w:fldChar w:fldCharType="separate"/>
        </w:r>
        <w:r>
          <w:rPr>
            <w:noProof/>
            <w:webHidden/>
          </w:rPr>
          <w:t>14</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05212186" w:history="1">
        <w:r>
          <w:rPr>
            <w:rStyle w:val="Lienhypertexte"/>
            <w:noProof/>
          </w:rPr>
          <w:t>ARTICLE 20</w:t>
        </w:r>
        <w:r>
          <w:rPr>
            <w:rFonts w:eastAsiaTheme="minorEastAsia" w:cstheme="minorBidi"/>
            <w:smallCaps w:val="0"/>
            <w:noProof/>
            <w:sz w:val="22"/>
            <w:szCs w:val="22"/>
          </w:rPr>
          <w:tab/>
        </w:r>
        <w:r>
          <w:rPr>
            <w:rStyle w:val="Lienhypertexte"/>
            <w:noProof/>
          </w:rPr>
          <w:t>PIECES</w:t>
        </w:r>
        <w:r>
          <w:rPr>
            <w:rStyle w:val="Lienhypertexte"/>
            <w:noProof/>
            <w:spacing w:val="-9"/>
          </w:rPr>
          <w:t xml:space="preserve"> </w:t>
        </w:r>
        <w:r>
          <w:rPr>
            <w:rStyle w:val="Lienhypertexte"/>
            <w:noProof/>
          </w:rPr>
          <w:t>A</w:t>
        </w:r>
        <w:r>
          <w:rPr>
            <w:rStyle w:val="Lienhypertexte"/>
            <w:noProof/>
            <w:spacing w:val="-4"/>
          </w:rPr>
          <w:t xml:space="preserve"> </w:t>
        </w:r>
        <w:r>
          <w:rPr>
            <w:rStyle w:val="Lienhypertexte"/>
            <w:noProof/>
          </w:rPr>
          <w:t>FOURNIR</w:t>
        </w:r>
        <w:r>
          <w:rPr>
            <w:rStyle w:val="Lienhypertexte"/>
            <w:noProof/>
            <w:spacing w:val="-8"/>
          </w:rPr>
          <w:t xml:space="preserve"> </w:t>
        </w:r>
        <w:r>
          <w:rPr>
            <w:rStyle w:val="Lienhypertexte"/>
            <w:noProof/>
          </w:rPr>
          <w:t>PAR</w:t>
        </w:r>
        <w:r>
          <w:rPr>
            <w:rStyle w:val="Lienhypertexte"/>
            <w:noProof/>
            <w:spacing w:val="-4"/>
          </w:rPr>
          <w:t xml:space="preserve"> </w:t>
        </w:r>
        <w:r>
          <w:rPr>
            <w:rStyle w:val="Lienhypertexte"/>
            <w:noProof/>
            <w:spacing w:val="-2"/>
          </w:rPr>
          <w:t>L’ATTRIBUTAIRE</w:t>
        </w:r>
        <w:r>
          <w:rPr>
            <w:noProof/>
            <w:webHidden/>
          </w:rPr>
          <w:tab/>
        </w:r>
        <w:r>
          <w:rPr>
            <w:noProof/>
            <w:webHidden/>
          </w:rPr>
          <w:fldChar w:fldCharType="begin"/>
        </w:r>
        <w:r>
          <w:rPr>
            <w:noProof/>
            <w:webHidden/>
          </w:rPr>
          <w:instrText xml:space="preserve"> PAGEREF _Toc205212186 \h </w:instrText>
        </w:r>
        <w:r>
          <w:rPr>
            <w:noProof/>
            <w:webHidden/>
          </w:rPr>
        </w:r>
        <w:r>
          <w:rPr>
            <w:noProof/>
            <w:webHidden/>
          </w:rPr>
          <w:fldChar w:fldCharType="separate"/>
        </w:r>
        <w:r>
          <w:rPr>
            <w:noProof/>
            <w:webHidden/>
          </w:rPr>
          <w:t>14</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05212187" w:history="1">
        <w:r>
          <w:rPr>
            <w:rStyle w:val="Lienhypertexte"/>
            <w:noProof/>
            <w:spacing w:val="-2"/>
          </w:rPr>
          <w:t>ARTICLE 21</w:t>
        </w:r>
        <w:r>
          <w:rPr>
            <w:rFonts w:eastAsiaTheme="minorEastAsia" w:cstheme="minorBidi"/>
            <w:smallCaps w:val="0"/>
            <w:noProof/>
            <w:sz w:val="22"/>
            <w:szCs w:val="22"/>
          </w:rPr>
          <w:tab/>
        </w:r>
        <w:r>
          <w:rPr>
            <w:rStyle w:val="Lienhypertexte"/>
            <w:noProof/>
          </w:rPr>
          <w:t>INFORMATION</w:t>
        </w:r>
        <w:r>
          <w:rPr>
            <w:rStyle w:val="Lienhypertexte"/>
            <w:noProof/>
            <w:spacing w:val="-10"/>
          </w:rPr>
          <w:t xml:space="preserve"> </w:t>
        </w:r>
        <w:r>
          <w:rPr>
            <w:rStyle w:val="Lienhypertexte"/>
            <w:noProof/>
          </w:rPr>
          <w:t>DES</w:t>
        </w:r>
        <w:r>
          <w:rPr>
            <w:rStyle w:val="Lienhypertexte"/>
            <w:noProof/>
            <w:spacing w:val="-12"/>
          </w:rPr>
          <w:t xml:space="preserve"> </w:t>
        </w:r>
        <w:r>
          <w:rPr>
            <w:rStyle w:val="Lienhypertexte"/>
            <w:noProof/>
            <w:spacing w:val="-2"/>
          </w:rPr>
          <w:t>CANDIDATS</w:t>
        </w:r>
        <w:r>
          <w:rPr>
            <w:noProof/>
            <w:webHidden/>
          </w:rPr>
          <w:tab/>
        </w:r>
        <w:r>
          <w:rPr>
            <w:noProof/>
            <w:webHidden/>
          </w:rPr>
          <w:fldChar w:fldCharType="begin"/>
        </w:r>
        <w:r>
          <w:rPr>
            <w:noProof/>
            <w:webHidden/>
          </w:rPr>
          <w:instrText xml:space="preserve"> PAGEREF _Toc205212187 \h </w:instrText>
        </w:r>
        <w:r>
          <w:rPr>
            <w:noProof/>
            <w:webHidden/>
          </w:rPr>
        </w:r>
        <w:r>
          <w:rPr>
            <w:noProof/>
            <w:webHidden/>
          </w:rPr>
          <w:fldChar w:fldCharType="separate"/>
        </w:r>
        <w:r>
          <w:rPr>
            <w:noProof/>
            <w:webHidden/>
          </w:rPr>
          <w:t>14</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05212188" w:history="1">
        <w:r>
          <w:rPr>
            <w:rStyle w:val="Lienhypertexte"/>
            <w:noProof/>
          </w:rPr>
          <w:t>ARTICLE 22</w:t>
        </w:r>
        <w:r>
          <w:rPr>
            <w:rFonts w:eastAsiaTheme="minorEastAsia" w:cstheme="minorBidi"/>
            <w:smallCaps w:val="0"/>
            <w:noProof/>
            <w:sz w:val="22"/>
            <w:szCs w:val="22"/>
          </w:rPr>
          <w:tab/>
        </w:r>
        <w:r>
          <w:rPr>
            <w:rStyle w:val="Lienhypertexte"/>
            <w:noProof/>
          </w:rPr>
          <w:t>TRIBUNAL COMPETENT</w:t>
        </w:r>
        <w:r>
          <w:rPr>
            <w:noProof/>
            <w:webHidden/>
          </w:rPr>
          <w:tab/>
        </w:r>
        <w:r>
          <w:rPr>
            <w:noProof/>
            <w:webHidden/>
          </w:rPr>
          <w:fldChar w:fldCharType="begin"/>
        </w:r>
        <w:r>
          <w:rPr>
            <w:noProof/>
            <w:webHidden/>
          </w:rPr>
          <w:instrText xml:space="preserve"> PAGEREF _Toc205212188 \h </w:instrText>
        </w:r>
        <w:r>
          <w:rPr>
            <w:noProof/>
            <w:webHidden/>
          </w:rPr>
        </w:r>
        <w:r>
          <w:rPr>
            <w:noProof/>
            <w:webHidden/>
          </w:rPr>
          <w:fldChar w:fldCharType="separate"/>
        </w:r>
        <w:r>
          <w:rPr>
            <w:noProof/>
            <w:webHidden/>
          </w:rPr>
          <w:t>14</w:t>
        </w:r>
        <w:r>
          <w:rPr>
            <w:noProof/>
            <w:webHidden/>
          </w:rPr>
          <w:fldChar w:fldCharType="end"/>
        </w:r>
      </w:hyperlink>
    </w:p>
    <w:p>
      <w:pPr>
        <w:tabs>
          <w:tab w:val="left" w:pos="5626"/>
        </w:tabs>
        <w:ind w:right="411"/>
        <w:rPr>
          <w:rFonts w:cs="Calibri"/>
          <w:b/>
          <w:sz w:val="20"/>
          <w:szCs w:val="20"/>
        </w:rPr>
      </w:pPr>
      <w:r>
        <w:rPr>
          <w:rFonts w:cs="Calibri"/>
          <w:b/>
          <w:szCs w:val="20"/>
        </w:rPr>
        <w:fldChar w:fldCharType="end"/>
      </w:r>
    </w:p>
    <w:p>
      <w:pPr>
        <w:tabs>
          <w:tab w:val="left" w:pos="5626"/>
        </w:tabs>
        <w:ind w:right="411"/>
        <w:rPr>
          <w:rFonts w:cs="Calibri"/>
          <w:b/>
          <w:sz w:val="20"/>
          <w:szCs w:val="20"/>
        </w:rPr>
      </w:pPr>
    </w:p>
    <w:p>
      <w:pPr>
        <w:jc w:val="left"/>
        <w:rPr>
          <w:rFonts w:cs="Calibri"/>
          <w:b/>
          <w:sz w:val="20"/>
          <w:szCs w:val="20"/>
        </w:rPr>
      </w:pPr>
      <w:r>
        <w:rPr>
          <w:rFonts w:cs="Calibri"/>
          <w:b/>
          <w:sz w:val="20"/>
          <w:szCs w:val="20"/>
        </w:rPr>
        <w:br w:type="page"/>
      </w:r>
      <w:bookmarkStart w:id="3" w:name="_GoBack"/>
      <w:bookmarkEnd w:id="3"/>
    </w:p>
    <w:p>
      <w:pPr>
        <w:pStyle w:val="CHAPITRE"/>
      </w:pPr>
      <w:bookmarkStart w:id="4" w:name="_Toc205212166"/>
      <w:r>
        <w:lastRenderedPageBreak/>
        <w:t>PREAMBULE :</w:t>
      </w:r>
      <w:bookmarkEnd w:id="4"/>
    </w:p>
    <w:p>
      <w:bookmarkStart w:id="5" w:name="_Toc182400051"/>
      <w:bookmarkStart w:id="6" w:name="_Toc182414158"/>
      <w:bookmarkStart w:id="7" w:name="_Toc186712931"/>
      <w:r>
        <w:rPr>
          <w:rStyle w:val="normaltextrun"/>
          <w:rFonts w:asciiTheme="minorHAnsi" w:hAnsiTheme="minorHAnsi" w:cstheme="minorHAnsi"/>
          <w:szCs w:val="22"/>
        </w:rPr>
        <w:t>Le GHT Plaine de France se compose de deux établissements : </w:t>
      </w:r>
      <w:r>
        <w:rPr>
          <w:rStyle w:val="eop"/>
          <w:rFonts w:asciiTheme="minorHAnsi" w:hAnsiTheme="minorHAnsi" w:cstheme="minorHAnsi"/>
          <w:szCs w:val="22"/>
        </w:rPr>
        <w:t> </w:t>
      </w:r>
    </w:p>
    <w:p>
      <w:r>
        <w:rPr>
          <w:rStyle w:val="normaltextrun"/>
          <w:rFonts w:asciiTheme="minorHAnsi" w:hAnsiTheme="minorHAnsi" w:cstheme="minorHAnsi"/>
          <w:szCs w:val="22"/>
        </w:rPr>
        <w:t>-</w:t>
      </w:r>
      <w:r>
        <w:rPr>
          <w:rStyle w:val="tabchar"/>
          <w:rFonts w:asciiTheme="minorHAnsi" w:hAnsiTheme="minorHAnsi" w:cstheme="minorHAnsi"/>
        </w:rPr>
        <w:t xml:space="preserve"> </w:t>
      </w:r>
      <w:r>
        <w:rPr>
          <w:rStyle w:val="normaltextrun"/>
          <w:rFonts w:asciiTheme="minorHAnsi" w:hAnsiTheme="minorHAnsi" w:cstheme="minorHAnsi"/>
          <w:szCs w:val="22"/>
        </w:rPr>
        <w:t>Le Centre Hospitalier de Saint-Denis (établissement support, CHSD) ;</w:t>
      </w:r>
      <w:r>
        <w:rPr>
          <w:rStyle w:val="eop"/>
          <w:rFonts w:asciiTheme="minorHAnsi" w:hAnsiTheme="minorHAnsi" w:cstheme="minorHAnsi"/>
          <w:szCs w:val="22"/>
        </w:rPr>
        <w:t> </w:t>
      </w:r>
    </w:p>
    <w:p>
      <w:r>
        <w:rPr>
          <w:rStyle w:val="normaltextrun"/>
          <w:rFonts w:asciiTheme="minorHAnsi" w:hAnsiTheme="minorHAnsi" w:cstheme="minorHAnsi"/>
          <w:szCs w:val="22"/>
        </w:rPr>
        <w:t>-</w:t>
      </w:r>
      <w:r>
        <w:rPr>
          <w:rStyle w:val="tabchar"/>
          <w:rFonts w:asciiTheme="minorHAnsi" w:hAnsiTheme="minorHAnsi" w:cstheme="minorHAnsi"/>
        </w:rPr>
        <w:t xml:space="preserve"> </w:t>
      </w:r>
      <w:r>
        <w:rPr>
          <w:rStyle w:val="normaltextrun"/>
          <w:rFonts w:asciiTheme="minorHAnsi" w:hAnsiTheme="minorHAnsi" w:cstheme="minorHAnsi"/>
          <w:szCs w:val="22"/>
        </w:rPr>
        <w:t>Le Centre Hospitalier de Gonesse (établissement partie, CHG).</w:t>
      </w:r>
      <w:r>
        <w:rPr>
          <w:rStyle w:val="eop"/>
          <w:rFonts w:asciiTheme="minorHAnsi" w:hAnsiTheme="minorHAnsi" w:cstheme="minorHAnsi"/>
          <w:szCs w:val="22"/>
        </w:rPr>
        <w:t> </w:t>
      </w:r>
    </w:p>
    <w:p>
      <w:r>
        <w:rPr>
          <w:rStyle w:val="eop"/>
          <w:rFonts w:asciiTheme="minorHAnsi" w:hAnsiTheme="minorHAnsi" w:cstheme="minorHAnsi"/>
          <w:szCs w:val="22"/>
        </w:rPr>
        <w:t> </w:t>
      </w:r>
    </w:p>
    <w:p>
      <w:pPr>
        <w:rPr>
          <w:rStyle w:val="eop"/>
          <w:rFonts w:asciiTheme="minorHAnsi" w:hAnsiTheme="minorHAnsi" w:cstheme="minorHAnsi"/>
          <w:szCs w:val="22"/>
        </w:rPr>
      </w:pPr>
      <w:r>
        <w:rPr>
          <w:rStyle w:val="normaltextrun"/>
          <w:rFonts w:asciiTheme="minorHAnsi" w:hAnsiTheme="minorHAnsi" w:cstheme="minorHAnsi"/>
          <w:szCs w:val="22"/>
        </w:rPr>
        <w:t>A ce titre, le Centre Hospitalier de Saint-Denis assure pour le compte de l’établissement partie :</w:t>
      </w:r>
      <w:r>
        <w:rPr>
          <w:rStyle w:val="eop"/>
          <w:rFonts w:asciiTheme="minorHAnsi" w:hAnsiTheme="minorHAnsi" w:cstheme="minorHAnsi"/>
          <w:szCs w:val="22"/>
        </w:rPr>
        <w:t> </w:t>
      </w:r>
    </w:p>
    <w:p/>
    <w:p>
      <w:r>
        <w:rPr>
          <w:rStyle w:val="normaltextrun"/>
          <w:rFonts w:asciiTheme="minorHAnsi" w:hAnsiTheme="minorHAnsi" w:cstheme="minorHAnsi"/>
          <w:szCs w:val="22"/>
        </w:rPr>
        <w:t>La procédure de passation et la signature des marchés ;</w:t>
      </w:r>
      <w:r>
        <w:rPr>
          <w:rStyle w:val="eop"/>
          <w:rFonts w:asciiTheme="minorHAnsi" w:hAnsiTheme="minorHAnsi" w:cstheme="minorHAnsi"/>
          <w:szCs w:val="22"/>
        </w:rPr>
        <w:t> </w:t>
      </w:r>
    </w:p>
    <w:p>
      <w:r>
        <w:rPr>
          <w:rStyle w:val="normaltextrun"/>
          <w:rFonts w:asciiTheme="minorHAnsi" w:hAnsiTheme="minorHAnsi" w:cstheme="minorHAnsi"/>
          <w:szCs w:val="22"/>
        </w:rPr>
        <w:t>La réalisation et la signature de tous les actes juridiques portant modification du ou des marchés (avenant, certificat administratif, reconduction, résiliation) </w:t>
      </w:r>
      <w:r>
        <w:rPr>
          <w:rStyle w:val="eop"/>
          <w:rFonts w:asciiTheme="minorHAnsi" w:hAnsiTheme="minorHAnsi" w:cstheme="minorHAnsi"/>
          <w:szCs w:val="22"/>
        </w:rPr>
        <w:t> </w:t>
      </w:r>
    </w:p>
    <w:p>
      <w:r>
        <w:rPr>
          <w:rStyle w:val="eop"/>
          <w:rFonts w:asciiTheme="minorHAnsi" w:hAnsiTheme="minorHAnsi" w:cstheme="minorHAnsi"/>
          <w:szCs w:val="22"/>
        </w:rPr>
        <w:t> </w:t>
      </w:r>
    </w:p>
    <w:p>
      <w:pPr>
        <w:rPr>
          <w:rStyle w:val="eop"/>
          <w:rFonts w:asciiTheme="minorHAnsi" w:hAnsiTheme="minorHAnsi" w:cstheme="minorHAnsi"/>
          <w:szCs w:val="22"/>
        </w:rPr>
      </w:pPr>
      <w:r>
        <w:rPr>
          <w:rStyle w:val="normaltextrun"/>
          <w:rFonts w:asciiTheme="minorHAnsi" w:hAnsiTheme="minorHAnsi" w:cstheme="minorHAnsi"/>
          <w:szCs w:val="22"/>
        </w:rPr>
        <w:t xml:space="preserve">Tous les échanges liés aux actes juridiques concernant la passation et la modification des contrats doivent être impérativement adressés Par voie </w:t>
      </w:r>
      <w:r>
        <w:t xml:space="preserve">dématérialisée </w:t>
      </w:r>
      <w:r>
        <w:rPr>
          <w:rStyle w:val="normaltextrun"/>
          <w:rFonts w:asciiTheme="minorHAnsi" w:hAnsiTheme="minorHAnsi" w:cstheme="minorHAnsi"/>
          <w:szCs w:val="22"/>
        </w:rPr>
        <w:t>sur le profil acheteur du GHT Plaine de France plateforme de dématérialisation de l’état PLACE :</w:t>
      </w:r>
      <w:r>
        <w:rPr>
          <w:rStyle w:val="eop"/>
          <w:rFonts w:asciiTheme="minorHAnsi" w:hAnsiTheme="minorHAnsi" w:cstheme="minorHAnsi"/>
          <w:szCs w:val="22"/>
        </w:rPr>
        <w:t> </w:t>
      </w:r>
    </w:p>
    <w:p/>
    <w:p>
      <w:pPr>
        <w:jc w:val="center"/>
      </w:pPr>
      <w:hyperlink r:id="rId14" w:tgtFrame="_blank" w:history="1">
        <w:r>
          <w:rPr>
            <w:rStyle w:val="normaltextrun"/>
            <w:rFonts w:asciiTheme="minorHAnsi" w:hAnsiTheme="minorHAnsi" w:cstheme="minorHAnsi"/>
            <w:color w:val="0000FF"/>
            <w:szCs w:val="22"/>
            <w:u w:val="single"/>
          </w:rPr>
          <w:t>https://www.marches-publics.gouv.fr</w:t>
        </w:r>
      </w:hyperlink>
    </w:p>
    <w:p>
      <w:r>
        <w:rPr>
          <w:rStyle w:val="eop"/>
          <w:rFonts w:asciiTheme="minorHAnsi" w:hAnsiTheme="minorHAnsi" w:cstheme="minorHAnsi"/>
          <w:szCs w:val="22"/>
        </w:rPr>
        <w:t> </w:t>
      </w:r>
    </w:p>
    <w:p>
      <w:pPr>
        <w:rPr>
          <w:rStyle w:val="eop"/>
          <w:rFonts w:asciiTheme="minorHAnsi" w:hAnsiTheme="minorHAnsi" w:cstheme="minorHAnsi"/>
          <w:szCs w:val="22"/>
        </w:rPr>
      </w:pPr>
      <w:r>
        <w:rPr>
          <w:rStyle w:val="normaltextrun"/>
          <w:rFonts w:asciiTheme="minorHAnsi" w:hAnsiTheme="minorHAnsi" w:cstheme="minorHAnsi"/>
          <w:szCs w:val="22"/>
        </w:rPr>
        <w:t>L’exécution du présent contrat (commandes, réceptions, liquidations, paiements) relève du : </w:t>
      </w:r>
      <w:r>
        <w:rPr>
          <w:rStyle w:val="eop"/>
          <w:rFonts w:asciiTheme="minorHAnsi" w:hAnsiTheme="minorHAnsi" w:cstheme="minorHAnsi"/>
          <w:szCs w:val="22"/>
        </w:rPr>
        <w:t> </w:t>
      </w:r>
    </w:p>
    <w:p>
      <w:pPr>
        <w:rPr>
          <w:rFonts w:asciiTheme="minorHAnsi" w:hAnsiTheme="minorHAnsi" w:cstheme="minorHAnsi"/>
          <w:szCs w:val="22"/>
        </w:rPr>
      </w:pPr>
    </w:p>
    <w:p>
      <w:pPr>
        <w:pStyle w:val="Paragraphedeliste"/>
        <w:numPr>
          <w:ilvl w:val="0"/>
          <w:numId w:val="43"/>
        </w:numPr>
        <w:rPr>
          <w:rStyle w:val="normaltextrun"/>
        </w:rPr>
      </w:pPr>
      <w:r>
        <w:rPr>
          <w:rStyle w:val="normaltextrun"/>
          <w:rFonts w:asciiTheme="minorHAnsi" w:hAnsiTheme="minorHAnsi" w:cstheme="minorHAnsi"/>
          <w:szCs w:val="22"/>
        </w:rPr>
        <w:t>Centre Hospitalier de Saint-Denis.</w:t>
      </w:r>
    </w:p>
    <w:p/>
    <w:p/>
    <w:p/>
    <w:p/>
    <w:p/>
    <w:p/>
    <w:p/>
    <w:p/>
    <w:p/>
    <w:p/>
    <w:p/>
    <w:p/>
    <w:p/>
    <w:p/>
    <w:p/>
    <w:p/>
    <w:p/>
    <w:p/>
    <w:p/>
    <w:p/>
    <w:p/>
    <w:p/>
    <w:p/>
    <w:p/>
    <w:p/>
    <w:p/>
    <w:p>
      <w:pPr>
        <w:pStyle w:val="Titre1"/>
      </w:pPr>
      <w:bookmarkStart w:id="8" w:name="_Toc205212167"/>
      <w:r>
        <w:lastRenderedPageBreak/>
        <w:t>OBJET DE L</w:t>
      </w:r>
      <w:bookmarkEnd w:id="5"/>
      <w:r>
        <w:t>’accord-cadre</w:t>
      </w:r>
      <w:bookmarkEnd w:id="6"/>
      <w:bookmarkEnd w:id="7"/>
      <w:bookmarkEnd w:id="8"/>
    </w:p>
    <w:p>
      <w:bookmarkStart w:id="9" w:name="_Hlk192173595"/>
      <w:bookmarkStart w:id="10" w:name="_Hlk199504068"/>
      <w:bookmarkStart w:id="11" w:name="_Toc182400052"/>
      <w:bookmarkStart w:id="12" w:name="_Toc182414159"/>
      <w:r>
        <w:t>Le Centre Hospitalier de Saint-Denis souhaite réaliser des travaux concernant le déménagement de la salle serveur au BMC 9 et remise en propreté de la DSIN au centre hospitalier de Saint-Denis situé au 2 rue du Docteur Delafontaine à SAINT-DENIS (93205).</w:t>
      </w:r>
    </w:p>
    <w:p/>
    <w:p>
      <w:r>
        <w:t xml:space="preserve">Les stipulations du présent Cahier des Clauses Administratives Particulières concernent les prestations ci-dessous désignées : </w:t>
      </w:r>
    </w:p>
    <w:p/>
    <w:bookmarkEnd w:id="9"/>
    <w:p>
      <w:pPr>
        <w:rPr>
          <w:b/>
        </w:rPr>
      </w:pPr>
      <w:r>
        <w:rPr>
          <w:b/>
        </w:rPr>
        <w:t xml:space="preserve">Relance du lot 1* Déménagement de la salle serveur au BMC 9 et remise en propreté de la DSIN ». </w:t>
      </w:r>
    </w:p>
    <w:p>
      <w:pPr>
        <w:rPr>
          <w:i/>
        </w:rPr>
      </w:pPr>
      <w:r>
        <w:rPr>
          <w:i/>
        </w:rPr>
        <w:t>(*Installations de chantier-Démolition-Gros œuvre-Cloisons-Menuiseries intérieures-Planchers techniques-Peintures-Revêtement de sol)</w:t>
      </w:r>
      <w:r>
        <w:rPr>
          <w:i/>
        </w:rPr>
        <w:t>.</w:t>
      </w:r>
    </w:p>
    <w:p/>
    <w:p>
      <w:pPr>
        <w:pStyle w:val="Titre1"/>
      </w:pPr>
      <w:bookmarkStart w:id="13" w:name="_Toc186712932"/>
      <w:bookmarkStart w:id="14" w:name="_Toc205212168"/>
      <w:bookmarkEnd w:id="10"/>
      <w:r>
        <w:t>DESIGNATION DES PARTIES</w:t>
      </w:r>
      <w:bookmarkEnd w:id="13"/>
      <w:bookmarkEnd w:id="14"/>
    </w:p>
    <w:p>
      <w:bookmarkStart w:id="15" w:name="_Toc186712934"/>
      <w:r>
        <w:t>Correspond Techniques :</w:t>
      </w:r>
    </w:p>
    <w:p>
      <w:pPr>
        <w:jc w:val="center"/>
        <w:rPr>
          <w:b/>
        </w:rPr>
      </w:pPr>
      <w:r>
        <w:rPr>
          <w:b/>
        </w:rPr>
        <w:t>Centre Hospitalier de Saint-Denis</w:t>
      </w:r>
    </w:p>
    <w:p>
      <w:pPr>
        <w:jc w:val="center"/>
      </w:pPr>
      <w:r>
        <w:t>Direction du Patrimoine et des Investissements</w:t>
      </w:r>
    </w:p>
    <w:p>
      <w:pPr>
        <w:jc w:val="center"/>
      </w:pPr>
      <w:r>
        <w:t>Monsieur Damien BAUERLE</w:t>
      </w:r>
    </w:p>
    <w:p>
      <w:pPr>
        <w:jc w:val="center"/>
      </w:pPr>
      <w:r>
        <w:t>2. rue du Docteur Delafontaine</w:t>
      </w:r>
    </w:p>
    <w:p>
      <w:pPr>
        <w:jc w:val="center"/>
      </w:pPr>
      <w:r>
        <w:t>93200 Saint-Denis</w:t>
      </w:r>
    </w:p>
    <w:p>
      <w:r>
        <w:t>Correspond Administratif :</w:t>
      </w:r>
    </w:p>
    <w:p>
      <w:pPr>
        <w:jc w:val="center"/>
        <w:rPr>
          <w:b/>
        </w:rPr>
      </w:pPr>
      <w:r>
        <w:rPr>
          <w:b/>
        </w:rPr>
        <w:t>Centre Hospitalier de Saint-Denis</w:t>
      </w:r>
    </w:p>
    <w:p>
      <w:pPr>
        <w:jc w:val="center"/>
      </w:pPr>
      <w:r>
        <w:t>Direction du Patrimoine et des Investissements</w:t>
      </w:r>
    </w:p>
    <w:p>
      <w:pPr>
        <w:jc w:val="center"/>
      </w:pPr>
      <w:r>
        <w:t>Madame Fatima ZEMALI</w:t>
      </w:r>
    </w:p>
    <w:p>
      <w:pPr>
        <w:jc w:val="center"/>
      </w:pPr>
      <w:r>
        <w:t>2. rue du Docteur Delafontaine</w:t>
      </w:r>
    </w:p>
    <w:p>
      <w:pPr>
        <w:jc w:val="center"/>
      </w:pPr>
      <w:r>
        <w:t>93200 Saint-Denis</w:t>
      </w:r>
    </w:p>
    <w:p>
      <w:r>
        <w:t>Correspondant Cellule Marchés Publics GHT :  </w:t>
      </w:r>
    </w:p>
    <w:p/>
    <w:p>
      <w:pPr>
        <w:jc w:val="center"/>
        <w:rPr>
          <w:b/>
        </w:rPr>
      </w:pPr>
      <w:r>
        <w:rPr>
          <w:b/>
        </w:rPr>
        <w:t>GHT PLAINE DE FRANCE</w:t>
      </w:r>
    </w:p>
    <w:p>
      <w:pPr>
        <w:jc w:val="center"/>
      </w:pPr>
      <w:r>
        <w:t>Monsieur Jérémie LUNTADILA</w:t>
      </w:r>
    </w:p>
    <w:p>
      <w:pPr>
        <w:jc w:val="center"/>
      </w:pPr>
      <w:r>
        <w:t xml:space="preserve">2. rue du Docteur Delafontaine 93 200 Saint-Denis </w:t>
      </w:r>
    </w:p>
    <w:p>
      <w:pPr>
        <w:jc w:val="center"/>
      </w:pPr>
      <w:r>
        <w:t>&amp; 2 Bd du 19 Mars 1962, 95500 Gonesse.</w:t>
      </w:r>
    </w:p>
    <w:p>
      <w:pPr>
        <w:pStyle w:val="Corpsdetexte"/>
        <w:spacing w:before="190" w:line="244" w:lineRule="auto"/>
        <w:ind w:right="-1"/>
        <w:rPr>
          <w:rFonts w:ascii="Calibri Light" w:hAnsi="Calibri Light" w:cs="Calibri Light"/>
        </w:rPr>
      </w:pPr>
      <w:r>
        <w:rPr>
          <w:rFonts w:ascii="Calibri Light" w:hAnsi="Calibri Light" w:cs="Calibri Light"/>
        </w:rPr>
        <w:t>Avec l’appui de :</w:t>
      </w:r>
    </w:p>
    <w:p>
      <w:pPr>
        <w:jc w:val="center"/>
      </w:pPr>
    </w:p>
    <w:p>
      <w:pPr>
        <w:jc w:val="left"/>
        <w:rPr>
          <w:b/>
        </w:rPr>
      </w:pPr>
      <w:r>
        <w:tab/>
      </w:r>
      <w:r>
        <w:rPr>
          <w:b/>
        </w:rPr>
        <w:t xml:space="preserve">FADI RIFAI ARCHITECTES </w:t>
      </w:r>
    </w:p>
    <w:p>
      <w:pPr>
        <w:jc w:val="left"/>
      </w:pPr>
      <w:r>
        <w:tab/>
        <w:t>32 rue Paul Belmondo</w:t>
      </w:r>
    </w:p>
    <w:p>
      <w:pPr>
        <w:jc w:val="left"/>
      </w:pPr>
      <w:r>
        <w:t xml:space="preserve">               75012 Paris</w:t>
      </w:r>
    </w:p>
    <w:p>
      <w:pPr>
        <w:jc w:val="left"/>
      </w:pPr>
      <w:r>
        <w:t xml:space="preserve">               Tél : 01 42 21 98 67</w:t>
      </w:r>
    </w:p>
    <w:p>
      <w:pPr>
        <w:jc w:val="left"/>
      </w:pPr>
      <w:r>
        <w:t xml:space="preserve">               Courriel : agence@fadirifaiarchitectes.com</w:t>
      </w:r>
    </w:p>
    <w:p>
      <w:pPr>
        <w:jc w:val="left"/>
      </w:pPr>
      <w:r>
        <w:t xml:space="preserve">            </w:t>
      </w:r>
    </w:p>
    <w:p>
      <w:pPr>
        <w:jc w:val="left"/>
        <w:rPr>
          <w:b/>
        </w:rPr>
      </w:pPr>
      <w:r>
        <w:rPr>
          <w:b/>
        </w:rPr>
        <w:t xml:space="preserve">                BâtiTECH</w:t>
      </w:r>
      <w:r>
        <w:rPr>
          <w:b/>
        </w:rPr>
        <w:tab/>
      </w:r>
    </w:p>
    <w:p>
      <w:pPr>
        <w:jc w:val="left"/>
      </w:pPr>
      <w:r>
        <w:tab/>
        <w:t>6, Boulevard Pesaro</w:t>
      </w:r>
    </w:p>
    <w:p>
      <w:pPr>
        <w:ind w:left="709"/>
        <w:jc w:val="left"/>
      </w:pPr>
      <w:r>
        <w:t xml:space="preserve">92000 Nanterre </w:t>
      </w:r>
    </w:p>
    <w:p>
      <w:pPr>
        <w:ind w:left="709"/>
        <w:jc w:val="left"/>
      </w:pPr>
      <w:r>
        <w:t>Tél : 01 56 65 98 89</w:t>
      </w:r>
    </w:p>
    <w:p>
      <w:pPr>
        <w:ind w:left="709"/>
        <w:jc w:val="left"/>
      </w:pPr>
      <w:r>
        <w:t xml:space="preserve">Courriel : </w:t>
      </w:r>
      <w:hyperlink r:id="rId15" w:history="1">
        <w:r>
          <w:rPr>
            <w:rStyle w:val="Lienhypertexte"/>
          </w:rPr>
          <w:t>contact@be-batitech.fr</w:t>
        </w:r>
      </w:hyperlink>
    </w:p>
    <w:p>
      <w:pPr>
        <w:ind w:left="709"/>
        <w:jc w:val="left"/>
      </w:pPr>
    </w:p>
    <w:p>
      <w:pPr>
        <w:ind w:left="709"/>
        <w:jc w:val="left"/>
      </w:pPr>
    </w:p>
    <w:p>
      <w:pPr>
        <w:ind w:left="709"/>
        <w:jc w:val="left"/>
      </w:pPr>
    </w:p>
    <w:p>
      <w:pPr>
        <w:ind w:left="709"/>
        <w:jc w:val="left"/>
      </w:pPr>
    </w:p>
    <w:p>
      <w:pPr>
        <w:pStyle w:val="Titre1"/>
      </w:pPr>
      <w:bookmarkStart w:id="16" w:name="_Hlk201134420"/>
      <w:bookmarkStart w:id="17" w:name="_Toc205212169"/>
      <w:r>
        <w:lastRenderedPageBreak/>
        <w:t>LIEU D’EXECUTION</w:t>
      </w:r>
      <w:bookmarkStart w:id="18" w:name="_Toc186712933"/>
      <w:bookmarkEnd w:id="15"/>
      <w:bookmarkEnd w:id="17"/>
    </w:p>
    <w:p>
      <w:pPr>
        <w:jc w:val="center"/>
        <w:rPr>
          <w:b/>
        </w:rPr>
      </w:pPr>
      <w:r>
        <w:rPr>
          <w:b/>
        </w:rPr>
        <w:t>CENTRE HOSPITALIER DE SAINT-DENIS</w:t>
      </w:r>
    </w:p>
    <w:p>
      <w:pPr>
        <w:jc w:val="center"/>
      </w:pPr>
      <w:r>
        <w:t>2, rue du Docteur Delafontaine</w:t>
      </w:r>
    </w:p>
    <w:p>
      <w:pPr>
        <w:jc w:val="center"/>
      </w:pPr>
      <w:r>
        <w:t xml:space="preserve">93205 SAINT-DENIS </w:t>
      </w:r>
    </w:p>
    <w:p>
      <w:pPr>
        <w:pStyle w:val="Titre1"/>
      </w:pPr>
      <w:bookmarkStart w:id="19" w:name="_Toc205212170"/>
      <w:bookmarkEnd w:id="16"/>
      <w:r>
        <w:t xml:space="preserve">FORME </w:t>
      </w:r>
      <w:bookmarkEnd w:id="11"/>
      <w:r>
        <w:t>d</w:t>
      </w:r>
      <w:bookmarkEnd w:id="12"/>
      <w:bookmarkEnd w:id="18"/>
      <w:r>
        <w:t>u marche</w:t>
      </w:r>
      <w:bookmarkEnd w:id="19"/>
    </w:p>
    <w:p>
      <w:pPr>
        <w:pStyle w:val="Titre2"/>
      </w:pPr>
      <w:r>
        <w:t>Fractionnement du marché</w:t>
      </w:r>
    </w:p>
    <w:p>
      <w:r>
        <w:t>La consultation est passée selon les modalités d’une procédure adaptée conformément aux dispositions des articles ci-dessous désignés du Code de la commande publique :</w:t>
      </w:r>
    </w:p>
    <w:p/>
    <w:p>
      <w:pPr>
        <w:ind w:left="709"/>
      </w:pPr>
      <w:r>
        <w:t>• Articles L.2123-1 et R.2123-1 du Code ;</w:t>
      </w:r>
    </w:p>
    <w:p>
      <w:pPr>
        <w:pStyle w:val="Titre2"/>
      </w:pPr>
      <w:r>
        <w:t>TECHNIQUE D’ACHAT</w:t>
      </w:r>
    </w:p>
    <w:p>
      <w:r>
        <w:t>Il s'agit d'un accord-cadre mono-attributaire par lot à bon de commandes, passé en application des articles suivants du Code de la commande publique :</w:t>
      </w:r>
    </w:p>
    <w:p/>
    <w:p>
      <w:pPr>
        <w:pStyle w:val="Paragraphedeliste"/>
        <w:numPr>
          <w:ilvl w:val="0"/>
          <w:numId w:val="45"/>
        </w:numPr>
      </w:pPr>
      <w:r>
        <w:t>Articles L.2125-1, R.2162-1 à R.2162-6, R.2162-13 et R.2162-14 du Code ;</w:t>
      </w:r>
    </w:p>
    <w:p/>
    <w:p>
      <w:pPr>
        <w:jc w:val="left"/>
      </w:pPr>
      <w:r>
        <w:t>Le présent accord-cadre est conclu sans montant minimum. Le montant maximum des prestations sur la durée totale de l’accord-cadre est fixé par le pouvoir adjudicateur dans le respect de son enveloppe budgétaire.</w:t>
      </w:r>
    </w:p>
    <w:p>
      <w:r>
        <w:t>Il est soumis aux dispositions du Cahier des Clauses Administratives Générales applicables aux marchés publics de travaux (CCAG-Travaux – version 2021).</w:t>
      </w:r>
    </w:p>
    <w:p>
      <w:pPr>
        <w:pStyle w:val="Titre2"/>
      </w:pPr>
      <w:r>
        <w:t>MODALITES D’EXECUTION</w:t>
      </w:r>
    </w:p>
    <w:p>
      <w:r>
        <w:t>Le marché sera exécuté au fur et à mesure de l’émission de bons de commande, dans les conditions fixées aux articles R. 2162-13 et R. 2162-14 du Code de la Commande Publique.</w:t>
      </w:r>
    </w:p>
    <w:p>
      <w:pPr>
        <w:pStyle w:val="Titre1"/>
      </w:pPr>
      <w:bookmarkStart w:id="20" w:name="_Toc182400053"/>
      <w:bookmarkStart w:id="21" w:name="_Toc182414160"/>
      <w:bookmarkStart w:id="22" w:name="_Toc186712935"/>
      <w:bookmarkStart w:id="23" w:name="_Toc205212171"/>
      <w:r>
        <w:t>DUREE De l’Accord</w:t>
      </w:r>
      <w:bookmarkEnd w:id="20"/>
      <w:bookmarkEnd w:id="21"/>
      <w:r>
        <w:t>-CADRE</w:t>
      </w:r>
      <w:bookmarkEnd w:id="22"/>
      <w:bookmarkEnd w:id="23"/>
    </w:p>
    <w:p>
      <w:bookmarkStart w:id="24" w:name="_Hlk192173680"/>
      <w:r>
        <w:t>La date prévisionnelle de notification du marché est prévue le 10 octobre 2025 avec un démarrage le même jour. La durée d’exécution du marché est estimée à 8 mois</w:t>
      </w:r>
      <w:bookmarkEnd w:id="24"/>
      <w:r>
        <w:t>,</w:t>
      </w:r>
    </w:p>
    <w:p>
      <w:bookmarkStart w:id="25" w:name="_Hlk205195956"/>
      <w:r>
        <w:t>L’accord-cadre n’est pas reconductible.</w:t>
      </w:r>
    </w:p>
    <w:p>
      <w:pPr>
        <w:pStyle w:val="Titre1"/>
      </w:pPr>
      <w:bookmarkStart w:id="26" w:name="_Toc205212172"/>
      <w:bookmarkEnd w:id="25"/>
      <w:r>
        <w:t>ALLOTISSEMENT</w:t>
      </w:r>
      <w:bookmarkEnd w:id="26"/>
    </w:p>
    <w:p>
      <w:r>
        <w:t>Le présent accord-cadre est alloti, il est composé de 4 lots distincts.</w:t>
      </w:r>
    </w:p>
    <w:p>
      <w:pPr>
        <w:pStyle w:val="Titre2"/>
      </w:pPr>
      <w:bookmarkStart w:id="27" w:name="_Toc199492922"/>
      <w:r>
        <w:t>Décomposition du marché en lots :</w:t>
      </w:r>
      <w:bookmarkEnd w:id="27"/>
    </w:p>
    <w:p/>
    <w:p>
      <w:r>
        <w:t>Le présent accord-cadre est alloti et est composé de 4 lots distincts.</w:t>
      </w:r>
    </w:p>
    <w:p/>
    <w:tbl>
      <w:tblPr>
        <w:tblW w:w="8647"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6"/>
        <w:gridCol w:w="7371"/>
      </w:tblGrid>
      <w:tr>
        <w:trPr>
          <w:trHeight w:val="314"/>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pPr>
              <w:jc w:val="center"/>
              <w:textAlignment w:val="baseline"/>
              <w:rPr>
                <w:b/>
              </w:rPr>
            </w:pPr>
            <w:r>
              <w:rPr>
                <w:b/>
              </w:rPr>
              <w:t>Lot 1</w:t>
            </w:r>
          </w:p>
        </w:tc>
        <w:tc>
          <w:tcPr>
            <w:tcW w:w="7371" w:type="dxa"/>
            <w:tcBorders>
              <w:top w:val="single" w:sz="6" w:space="0" w:color="auto"/>
              <w:left w:val="single" w:sz="6" w:space="0" w:color="auto"/>
              <w:bottom w:val="single" w:sz="6" w:space="0" w:color="auto"/>
              <w:right w:val="single" w:sz="6" w:space="0" w:color="auto"/>
            </w:tcBorders>
            <w:shd w:val="clear" w:color="auto" w:fill="auto"/>
            <w:hideMark/>
          </w:tcPr>
          <w:p>
            <w:pPr>
              <w:textAlignment w:val="baseline"/>
              <w:rPr>
                <w:b/>
              </w:rPr>
            </w:pPr>
            <w:bookmarkStart w:id="28" w:name="_Hlk205210576"/>
            <w:r>
              <w:rPr>
                <w:b/>
              </w:rPr>
              <w:t>Installations de chantier-Démolition-Gros œuvre-Cloisons-Menuiseries intérieures-Planchers techniques-Peintures-Revêtement de sol </w:t>
            </w:r>
            <w:bookmarkEnd w:id="28"/>
          </w:p>
        </w:tc>
      </w:tr>
      <w:tr>
        <w:trPr>
          <w:trHeight w:val="314"/>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pPr>
              <w:jc w:val="center"/>
              <w:textAlignment w:val="baseline"/>
              <w:rPr>
                <w:color w:val="A6A6A6" w:themeColor="background1" w:themeShade="A6"/>
              </w:rPr>
            </w:pPr>
            <w:r>
              <w:rPr>
                <w:color w:val="A6A6A6" w:themeColor="background1" w:themeShade="A6"/>
              </w:rPr>
              <w:t>Lot 2</w:t>
            </w:r>
          </w:p>
        </w:tc>
        <w:tc>
          <w:tcPr>
            <w:tcW w:w="7371" w:type="dxa"/>
            <w:tcBorders>
              <w:top w:val="single" w:sz="6" w:space="0" w:color="auto"/>
              <w:left w:val="single" w:sz="6" w:space="0" w:color="auto"/>
              <w:bottom w:val="single" w:sz="6" w:space="0" w:color="auto"/>
              <w:right w:val="single" w:sz="6" w:space="0" w:color="auto"/>
            </w:tcBorders>
            <w:shd w:val="clear" w:color="auto" w:fill="auto"/>
            <w:hideMark/>
          </w:tcPr>
          <w:p>
            <w:pPr>
              <w:textAlignment w:val="baseline"/>
              <w:rPr>
                <w:color w:val="A6A6A6" w:themeColor="background1" w:themeShade="A6"/>
              </w:rPr>
            </w:pPr>
            <w:r>
              <w:rPr>
                <w:color w:val="A6A6A6" w:themeColor="background1" w:themeShade="A6"/>
              </w:rPr>
              <w:t xml:space="preserve">Cloisons salles propres </w:t>
            </w:r>
          </w:p>
        </w:tc>
      </w:tr>
      <w:tr>
        <w:trPr>
          <w:trHeight w:val="314"/>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pPr>
              <w:jc w:val="center"/>
              <w:textAlignment w:val="baseline"/>
              <w:rPr>
                <w:color w:val="A6A6A6" w:themeColor="background1" w:themeShade="A6"/>
              </w:rPr>
            </w:pPr>
            <w:r>
              <w:rPr>
                <w:color w:val="A6A6A6" w:themeColor="background1" w:themeShade="A6"/>
              </w:rPr>
              <w:t>Lot 3</w:t>
            </w:r>
          </w:p>
        </w:tc>
        <w:tc>
          <w:tcPr>
            <w:tcW w:w="7371" w:type="dxa"/>
            <w:tcBorders>
              <w:top w:val="single" w:sz="6" w:space="0" w:color="auto"/>
              <w:left w:val="single" w:sz="6" w:space="0" w:color="auto"/>
              <w:bottom w:val="single" w:sz="6" w:space="0" w:color="auto"/>
              <w:right w:val="single" w:sz="6" w:space="0" w:color="auto"/>
            </w:tcBorders>
            <w:shd w:val="clear" w:color="auto" w:fill="auto"/>
            <w:hideMark/>
          </w:tcPr>
          <w:p>
            <w:pPr>
              <w:textAlignment w:val="baseline"/>
              <w:rPr>
                <w:color w:val="A6A6A6" w:themeColor="background1" w:themeShade="A6"/>
              </w:rPr>
            </w:pPr>
            <w:r>
              <w:rPr>
                <w:color w:val="A6A6A6" w:themeColor="background1" w:themeShade="A6"/>
              </w:rPr>
              <w:t>Electricité CFO/CFA</w:t>
            </w:r>
          </w:p>
        </w:tc>
      </w:tr>
      <w:tr>
        <w:trPr>
          <w:trHeight w:val="314"/>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pPr>
              <w:jc w:val="center"/>
              <w:textAlignment w:val="baseline"/>
              <w:rPr>
                <w:color w:val="A6A6A6" w:themeColor="background1" w:themeShade="A6"/>
              </w:rPr>
            </w:pPr>
            <w:r>
              <w:rPr>
                <w:color w:val="A6A6A6" w:themeColor="background1" w:themeShade="A6"/>
              </w:rPr>
              <w:t>Lot 4</w:t>
            </w:r>
          </w:p>
        </w:tc>
        <w:tc>
          <w:tcPr>
            <w:tcW w:w="7371" w:type="dxa"/>
            <w:tcBorders>
              <w:top w:val="single" w:sz="6" w:space="0" w:color="auto"/>
              <w:left w:val="single" w:sz="6" w:space="0" w:color="auto"/>
              <w:bottom w:val="single" w:sz="6" w:space="0" w:color="auto"/>
              <w:right w:val="single" w:sz="6" w:space="0" w:color="auto"/>
            </w:tcBorders>
            <w:shd w:val="clear" w:color="auto" w:fill="auto"/>
            <w:hideMark/>
          </w:tcPr>
          <w:p>
            <w:pPr>
              <w:textAlignment w:val="baseline"/>
              <w:rPr>
                <w:color w:val="A6A6A6" w:themeColor="background1" w:themeShade="A6"/>
              </w:rPr>
            </w:pPr>
            <w:r>
              <w:rPr>
                <w:color w:val="A6A6A6" w:themeColor="background1" w:themeShade="A6"/>
              </w:rPr>
              <w:t>Chauffage – Ventilation – Climatisation</w:t>
            </w:r>
          </w:p>
        </w:tc>
      </w:tr>
    </w:tbl>
    <w:p/>
    <w:p>
      <w:r>
        <w:lastRenderedPageBreak/>
        <w:t xml:space="preserve">La présente consultation ne concerne </w:t>
      </w:r>
      <w:r>
        <w:rPr>
          <w:rStyle w:val="lev"/>
          <w:rFonts w:eastAsia="Calibri"/>
        </w:rPr>
        <w:t>que la relance du Lot 1</w:t>
      </w:r>
      <w:r>
        <w:t xml:space="preserve"> intitulé :</w:t>
      </w:r>
      <w:r>
        <w:br/>
      </w:r>
      <w:r>
        <w:rPr>
          <w:rStyle w:val="lev"/>
          <w:rFonts w:eastAsia="Calibri"/>
        </w:rPr>
        <w:t>« Installations de chantier – Démolition – Gros œuvre – Cloisons – Menuiseries intérieures – Planchers techniques – Peintures – Revêtements de sol »</w:t>
      </w:r>
      <w:r>
        <w:t>.</w:t>
      </w:r>
    </w:p>
    <w:p>
      <w:pPr>
        <w:pStyle w:val="Titre1"/>
      </w:pPr>
      <w:bookmarkStart w:id="29" w:name="_Toc205212173"/>
      <w:r>
        <w:t>VARIANTES ET PRESTATIONS SUPPLEMENTAIRES EVENTUELLES</w:t>
      </w:r>
      <w:bookmarkEnd w:id="29"/>
    </w:p>
    <w:p>
      <w:r>
        <w:t>Le CH de Saint-Denis n’autorise pas de variantes et prestations supplémentaires éventuelles.</w:t>
      </w:r>
    </w:p>
    <w:p>
      <w:pPr>
        <w:pStyle w:val="Titre1"/>
      </w:pPr>
      <w:bookmarkStart w:id="30" w:name="_Toc205212174"/>
      <w:r>
        <w:t>NOMENCLATURE COMMUNAUTAIRE</w:t>
      </w:r>
      <w:bookmarkEnd w:id="30"/>
    </w:p>
    <w:p>
      <w:r>
        <w:t>La</w:t>
      </w:r>
      <w:r>
        <w:rPr>
          <w:spacing w:val="25"/>
        </w:rPr>
        <w:t xml:space="preserve"> </w:t>
      </w:r>
      <w:r>
        <w:t>classification</w:t>
      </w:r>
      <w:r>
        <w:rPr>
          <w:spacing w:val="26"/>
        </w:rPr>
        <w:t xml:space="preserve"> </w:t>
      </w:r>
      <w:r>
        <w:t>principale</w:t>
      </w:r>
      <w:r>
        <w:rPr>
          <w:spacing w:val="25"/>
        </w:rPr>
        <w:t xml:space="preserve"> </w:t>
      </w:r>
      <w:r>
        <w:t>conforme</w:t>
      </w:r>
      <w:r>
        <w:rPr>
          <w:spacing w:val="26"/>
        </w:rPr>
        <w:t xml:space="preserve"> </w:t>
      </w:r>
      <w:r>
        <w:t>au</w:t>
      </w:r>
      <w:r>
        <w:rPr>
          <w:spacing w:val="25"/>
        </w:rPr>
        <w:t xml:space="preserve"> </w:t>
      </w:r>
      <w:r>
        <w:t>vocabulaire</w:t>
      </w:r>
      <w:r>
        <w:rPr>
          <w:spacing w:val="26"/>
        </w:rPr>
        <w:t xml:space="preserve"> </w:t>
      </w:r>
      <w:r>
        <w:t>commun</w:t>
      </w:r>
      <w:r>
        <w:rPr>
          <w:spacing w:val="23"/>
        </w:rPr>
        <w:t xml:space="preserve"> </w:t>
      </w:r>
      <w:r>
        <w:t>des</w:t>
      </w:r>
      <w:r>
        <w:rPr>
          <w:spacing w:val="-47"/>
        </w:rPr>
        <w:t xml:space="preserve"> </w:t>
      </w:r>
      <w:r>
        <w:t>marchés</w:t>
      </w:r>
      <w:r>
        <w:rPr>
          <w:spacing w:val="1"/>
        </w:rPr>
        <w:t xml:space="preserve"> </w:t>
      </w:r>
      <w:r>
        <w:t>européens (CPV) est la suivante :</w:t>
      </w:r>
    </w:p>
    <w:tbl>
      <w:tblPr>
        <w:tblStyle w:val="TableauGrille4-Accentuation3"/>
        <w:tblW w:w="9494" w:type="dxa"/>
        <w:tblInd w:w="-289" w:type="dxa"/>
        <w:tblLayout w:type="fixed"/>
        <w:tblLook w:val="01E0" w:firstRow="1" w:lastRow="1" w:firstColumn="1" w:lastColumn="1" w:noHBand="0" w:noVBand="0"/>
      </w:tblPr>
      <w:tblGrid>
        <w:gridCol w:w="4820"/>
        <w:gridCol w:w="4674"/>
      </w:tblGrid>
      <w:tr>
        <w:trPr>
          <w:cnfStyle w:val="100000000000" w:firstRow="1" w:lastRow="0" w:firstColumn="0" w:lastColumn="0" w:oddVBand="0" w:evenVBand="0" w:oddHBand="0" w:evenHBand="0" w:firstRowFirstColumn="0" w:firstRowLastColumn="0" w:lastRowFirstColumn="0" w:lastRowLastColumn="0"/>
          <w:trHeight w:val="208"/>
        </w:trPr>
        <w:tc>
          <w:tcPr>
            <w:cnfStyle w:val="001000000000" w:firstRow="0" w:lastRow="0" w:firstColumn="1" w:lastColumn="0" w:oddVBand="0" w:evenVBand="0" w:oddHBand="0" w:evenHBand="0" w:firstRowFirstColumn="0" w:firstRowLastColumn="0" w:lastRowFirstColumn="0" w:lastRowLastColumn="0"/>
            <w:tcW w:w="4820" w:type="dxa"/>
          </w:tcPr>
          <w:p>
            <w:pPr>
              <w:pStyle w:val="TableParagraph"/>
              <w:spacing w:before="1" w:line="249" w:lineRule="exact"/>
              <w:ind w:left="1563" w:right="1275"/>
              <w:jc w:val="center"/>
            </w:pPr>
            <w:r>
              <w:t>NOMENCLATURE</w:t>
            </w:r>
          </w:p>
        </w:tc>
        <w:tc>
          <w:tcPr>
            <w:cnfStyle w:val="000100000000" w:firstRow="0" w:lastRow="0" w:firstColumn="0" w:lastColumn="1" w:oddVBand="0" w:evenVBand="0" w:oddHBand="0" w:evenHBand="0" w:firstRowFirstColumn="0" w:firstRowLastColumn="0" w:lastRowFirstColumn="0" w:lastRowLastColumn="0"/>
            <w:tcW w:w="4674" w:type="dxa"/>
          </w:tcPr>
          <w:p>
            <w:pPr>
              <w:pStyle w:val="TableParagraph"/>
              <w:spacing w:before="1" w:line="249" w:lineRule="exact"/>
              <w:ind w:left="1864" w:right="1569"/>
              <w:jc w:val="center"/>
            </w:pPr>
            <w:r>
              <w:t>INTITULE</w:t>
            </w:r>
          </w:p>
        </w:tc>
      </w:tr>
      <w:tr>
        <w:trPr>
          <w:cnfStyle w:val="010000000000" w:firstRow="0" w:lastRow="1" w:firstColumn="0" w:lastColumn="0" w:oddVBand="0" w:evenVBand="0" w:oddHBand="0" w:evenHBand="0" w:firstRowFirstColumn="0" w:firstRowLastColumn="0" w:lastRowFirstColumn="0" w:lastRowLastColumn="0"/>
          <w:trHeight w:val="538"/>
        </w:trPr>
        <w:tc>
          <w:tcPr>
            <w:cnfStyle w:val="001000000000" w:firstRow="0" w:lastRow="0" w:firstColumn="1" w:lastColumn="0" w:oddVBand="0" w:evenVBand="0" w:oddHBand="0" w:evenHBand="0" w:firstRowFirstColumn="0" w:firstRowLastColumn="0" w:lastRowFirstColumn="0" w:lastRowLastColumn="0"/>
            <w:tcW w:w="4820" w:type="dxa"/>
          </w:tcPr>
          <w:p>
            <w:pPr>
              <w:rPr>
                <w:sz w:val="18"/>
              </w:rPr>
            </w:pPr>
          </w:p>
          <w:p>
            <w:pPr>
              <w:rPr>
                <w:b w:val="0"/>
                <w:bCs w:val="0"/>
                <w:sz w:val="18"/>
              </w:rPr>
            </w:pPr>
            <w:r>
              <w:rPr>
                <w:sz w:val="18"/>
              </w:rPr>
              <w:t>Lot 1 - 45210000-2</w:t>
            </w:r>
          </w:p>
        </w:tc>
        <w:tc>
          <w:tcPr>
            <w:cnfStyle w:val="000100000000" w:firstRow="0" w:lastRow="0" w:firstColumn="0" w:lastColumn="1" w:oddVBand="0" w:evenVBand="0" w:oddHBand="0" w:evenHBand="0" w:firstRowFirstColumn="0" w:firstRowLastColumn="0" w:lastRowFirstColumn="0" w:lastRowLastColumn="0"/>
            <w:tcW w:w="4674" w:type="dxa"/>
          </w:tcPr>
          <w:p>
            <w:pPr>
              <w:rPr>
                <w:sz w:val="18"/>
              </w:rPr>
            </w:pPr>
          </w:p>
          <w:p>
            <w:pPr>
              <w:rPr>
                <w:b w:val="0"/>
                <w:bCs w:val="0"/>
                <w:sz w:val="18"/>
              </w:rPr>
            </w:pPr>
            <w:r>
              <w:rPr>
                <w:sz w:val="18"/>
              </w:rPr>
              <w:t>-Travaux de construction de bâtiments</w:t>
            </w:r>
          </w:p>
          <w:p>
            <w:pPr>
              <w:rPr>
                <w:sz w:val="18"/>
              </w:rPr>
            </w:pPr>
          </w:p>
        </w:tc>
      </w:tr>
    </w:tbl>
    <w:p>
      <w:pPr>
        <w:pStyle w:val="Titre1"/>
      </w:pPr>
      <w:bookmarkStart w:id="31" w:name="_Toc205212175"/>
      <w:r>
        <w:t>CONTENU DU DOSSIER DE CONSULTATION</w:t>
      </w:r>
      <w:bookmarkEnd w:id="31"/>
    </w:p>
    <w:p>
      <w:r>
        <w:t>Le dossier de consultation est constitué des pièces suivantes :</w:t>
      </w:r>
    </w:p>
    <w:p>
      <w:pPr>
        <w:pStyle w:val="Paragraphedeliste"/>
        <w:numPr>
          <w:ilvl w:val="0"/>
          <w:numId w:val="15"/>
        </w:numPr>
      </w:pPr>
      <w:r>
        <w:t xml:space="preserve">Le présent règlement de consultation </w:t>
      </w:r>
      <w:r>
        <w:rPr>
          <w:b/>
        </w:rPr>
        <w:t>(RC)</w:t>
      </w:r>
      <w:r>
        <w:t>,</w:t>
      </w:r>
    </w:p>
    <w:p>
      <w:pPr>
        <w:pStyle w:val="Paragraphedeliste"/>
        <w:numPr>
          <w:ilvl w:val="0"/>
          <w:numId w:val="15"/>
        </w:numPr>
      </w:pPr>
      <w:r>
        <w:t xml:space="preserve">Le formulaire d’acte d’engagement </w:t>
      </w:r>
      <w:r>
        <w:rPr>
          <w:b/>
        </w:rPr>
        <w:t>(AE)</w:t>
      </w:r>
      <w:r>
        <w:t>,</w:t>
      </w:r>
    </w:p>
    <w:p>
      <w:pPr>
        <w:pStyle w:val="Paragraphedeliste"/>
        <w:numPr>
          <w:ilvl w:val="0"/>
          <w:numId w:val="15"/>
        </w:numPr>
        <w:contextualSpacing w:val="0"/>
        <w:jc w:val="left"/>
        <w:rPr>
          <w:rFonts w:asciiTheme="minorHAnsi" w:hAnsiTheme="minorHAnsi" w:cstheme="minorHAnsi"/>
          <w:bCs/>
        </w:rPr>
      </w:pPr>
      <w:bookmarkStart w:id="32" w:name="_Hlk180583015"/>
      <w:bookmarkStart w:id="33" w:name="_Toc113976723"/>
      <w:r>
        <w:rPr>
          <w:rFonts w:asciiTheme="minorHAnsi" w:hAnsiTheme="minorHAnsi" w:cstheme="minorHAnsi"/>
          <w:bCs/>
        </w:rPr>
        <w:t>Le bordereaux de Décomposition du Prix Global de Forfaitaire (</w:t>
      </w:r>
      <w:r>
        <w:rPr>
          <w:rFonts w:asciiTheme="minorHAnsi" w:hAnsiTheme="minorHAnsi" w:cstheme="minorHAnsi"/>
          <w:b/>
          <w:bCs/>
        </w:rPr>
        <w:t xml:space="preserve">DPGF) </w:t>
      </w:r>
      <w:r>
        <w:rPr>
          <w:rFonts w:asciiTheme="minorHAnsi" w:hAnsiTheme="minorHAnsi" w:cstheme="minorHAnsi"/>
          <w:bCs/>
        </w:rPr>
        <w:t>du lot 1</w:t>
      </w:r>
    </w:p>
    <w:bookmarkEnd w:id="32"/>
    <w:p>
      <w:pPr>
        <w:pStyle w:val="Paragraphedeliste"/>
        <w:numPr>
          <w:ilvl w:val="0"/>
          <w:numId w:val="15"/>
        </w:numPr>
        <w:contextualSpacing w:val="0"/>
        <w:jc w:val="left"/>
        <w:rPr>
          <w:rFonts w:asciiTheme="minorHAnsi" w:hAnsiTheme="minorHAnsi" w:cstheme="minorHAnsi"/>
          <w:bCs/>
        </w:rPr>
      </w:pPr>
      <w:r>
        <w:rPr>
          <w:rFonts w:asciiTheme="minorHAnsi" w:hAnsiTheme="minorHAnsi" w:cstheme="minorHAnsi"/>
          <w:bCs/>
        </w:rPr>
        <w:t>Le Cahier des Clauses Administratives Particulières (</w:t>
      </w:r>
      <w:r>
        <w:rPr>
          <w:rFonts w:asciiTheme="minorHAnsi" w:hAnsiTheme="minorHAnsi" w:cstheme="minorHAnsi"/>
          <w:b/>
          <w:bCs/>
        </w:rPr>
        <w:t>CCAP</w:t>
      </w:r>
      <w:r>
        <w:rPr>
          <w:rFonts w:asciiTheme="minorHAnsi" w:hAnsiTheme="minorHAnsi" w:cstheme="minorHAnsi"/>
          <w:bCs/>
        </w:rPr>
        <w:t>),</w:t>
      </w:r>
    </w:p>
    <w:p>
      <w:pPr>
        <w:pStyle w:val="Paragraphedeliste"/>
        <w:numPr>
          <w:ilvl w:val="0"/>
          <w:numId w:val="15"/>
        </w:numPr>
        <w:contextualSpacing w:val="0"/>
        <w:jc w:val="left"/>
        <w:rPr>
          <w:rFonts w:asciiTheme="minorHAnsi" w:hAnsiTheme="minorHAnsi" w:cstheme="minorHAnsi"/>
          <w:bCs/>
        </w:rPr>
      </w:pPr>
      <w:r>
        <w:rPr>
          <w:rFonts w:asciiTheme="minorHAnsi" w:hAnsiTheme="minorHAnsi" w:cstheme="minorHAnsi"/>
          <w:bCs/>
        </w:rPr>
        <w:t xml:space="preserve">Les Cahiers des Clauses Techniques Particulières </w:t>
      </w:r>
      <w:r>
        <w:rPr>
          <w:rFonts w:asciiTheme="minorHAnsi" w:hAnsiTheme="minorHAnsi" w:cstheme="minorHAnsi"/>
          <w:b/>
          <w:bCs/>
        </w:rPr>
        <w:t>(CCTP)</w:t>
      </w:r>
      <w:r>
        <w:rPr>
          <w:rFonts w:asciiTheme="minorHAnsi" w:hAnsiTheme="minorHAnsi" w:cstheme="minorHAnsi"/>
          <w:bCs/>
        </w:rPr>
        <w:t xml:space="preserve">, </w:t>
      </w:r>
    </w:p>
    <w:p>
      <w:pPr>
        <w:pStyle w:val="Paragraphedeliste"/>
        <w:numPr>
          <w:ilvl w:val="0"/>
          <w:numId w:val="15"/>
        </w:numPr>
        <w:contextualSpacing w:val="0"/>
        <w:jc w:val="left"/>
        <w:rPr>
          <w:rFonts w:asciiTheme="minorHAnsi" w:hAnsiTheme="minorHAnsi" w:cstheme="minorHAnsi"/>
          <w:bCs/>
        </w:rPr>
      </w:pPr>
      <w:r>
        <w:rPr>
          <w:rFonts w:asciiTheme="minorHAnsi" w:hAnsiTheme="minorHAnsi" w:cstheme="minorHAnsi"/>
          <w:bCs/>
        </w:rPr>
        <w:t>Le planning prévisionnel des travaux</w:t>
      </w:r>
    </w:p>
    <w:p>
      <w:pPr>
        <w:pStyle w:val="Paragraphedeliste"/>
        <w:numPr>
          <w:ilvl w:val="0"/>
          <w:numId w:val="15"/>
        </w:numPr>
        <w:contextualSpacing w:val="0"/>
        <w:jc w:val="left"/>
        <w:rPr>
          <w:rFonts w:asciiTheme="minorHAnsi" w:hAnsiTheme="minorHAnsi" w:cstheme="minorHAnsi"/>
          <w:bCs/>
        </w:rPr>
      </w:pPr>
      <w:r>
        <w:rPr>
          <w:rFonts w:asciiTheme="minorHAnsi" w:hAnsiTheme="minorHAnsi" w:cstheme="minorHAnsi"/>
          <w:b/>
          <w:bCs/>
        </w:rPr>
        <w:t>Les plans, les pièces techniques et graphiques</w:t>
      </w:r>
      <w:r>
        <w:rPr>
          <w:rFonts w:asciiTheme="minorHAnsi" w:hAnsiTheme="minorHAnsi" w:cstheme="minorHAnsi"/>
          <w:bCs/>
        </w:rPr>
        <w:t xml:space="preserve"> annexés au dossier de consultation des entreprises (20 plans)</w:t>
      </w:r>
    </w:p>
    <w:p>
      <w:pPr>
        <w:pStyle w:val="Paragraphedeliste"/>
        <w:keepLines/>
        <w:numPr>
          <w:ilvl w:val="0"/>
          <w:numId w:val="15"/>
        </w:numPr>
        <w:autoSpaceDE w:val="0"/>
        <w:autoSpaceDN w:val="0"/>
        <w:adjustRightInd w:val="0"/>
        <w:spacing w:before="120"/>
        <w:ind w:right="-1"/>
        <w:contextualSpacing w:val="0"/>
        <w:jc w:val="left"/>
        <w:rPr>
          <w:rFonts w:asciiTheme="minorHAnsi" w:hAnsiTheme="minorHAnsi" w:cstheme="minorHAnsi"/>
          <w:bCs/>
          <w:szCs w:val="20"/>
        </w:rPr>
      </w:pPr>
      <w:r>
        <w:rPr>
          <w:rFonts w:asciiTheme="minorHAnsi" w:hAnsiTheme="minorHAnsi" w:cstheme="minorHAnsi"/>
          <w:bCs/>
          <w:szCs w:val="20"/>
        </w:rPr>
        <w:t>Le Cahier des Clauses Administratives Générales applicable aux marchés publics de Travaux (CCAG – Travaux) version au 1</w:t>
      </w:r>
      <w:r>
        <w:rPr>
          <w:rFonts w:asciiTheme="minorHAnsi" w:hAnsiTheme="minorHAnsi" w:cstheme="minorHAnsi"/>
          <w:bCs/>
          <w:szCs w:val="20"/>
          <w:vertAlign w:val="superscript"/>
        </w:rPr>
        <w:t>er</w:t>
      </w:r>
      <w:r>
        <w:rPr>
          <w:rFonts w:asciiTheme="minorHAnsi" w:hAnsiTheme="minorHAnsi" w:cstheme="minorHAnsi"/>
          <w:bCs/>
          <w:szCs w:val="20"/>
        </w:rPr>
        <w:t xml:space="preserve"> avril 2021, approuvé par arrêté du 30 mars 2021. Ce document d’ordre général n’est pas joint matériellement au marché, mais il est téléchargeable sur le site de </w:t>
      </w:r>
      <w:hyperlink r:id="rId16" w:history="1">
        <w:r>
          <w:rPr>
            <w:rFonts w:asciiTheme="minorHAnsi" w:hAnsiTheme="minorHAnsi" w:cstheme="minorHAnsi"/>
            <w:bCs/>
            <w:color w:val="0000FF"/>
            <w:szCs w:val="20"/>
          </w:rPr>
          <w:t>http://www.legifrance.gouv.fr</w:t>
        </w:r>
      </w:hyperlink>
      <w:r>
        <w:rPr>
          <w:rFonts w:asciiTheme="minorHAnsi" w:hAnsiTheme="minorHAnsi" w:cstheme="minorHAnsi"/>
          <w:bCs/>
          <w:szCs w:val="20"/>
        </w:rPr>
        <w:t>. Les candidats déclarent expressément le connaître, s’y référer et l’accepter. Il est applicable pour tout ce à quoi il n’est pas formellement dérogé par le présent CCAP.</w:t>
      </w:r>
    </w:p>
    <w:p>
      <w:pPr>
        <w:pStyle w:val="Paragraphedeliste"/>
        <w:keepLines/>
        <w:numPr>
          <w:ilvl w:val="0"/>
          <w:numId w:val="15"/>
        </w:numPr>
        <w:autoSpaceDE w:val="0"/>
        <w:autoSpaceDN w:val="0"/>
        <w:adjustRightInd w:val="0"/>
        <w:spacing w:before="120"/>
        <w:ind w:right="-1"/>
        <w:contextualSpacing w:val="0"/>
        <w:jc w:val="left"/>
        <w:rPr>
          <w:rFonts w:asciiTheme="minorHAnsi" w:hAnsiTheme="minorHAnsi" w:cstheme="minorHAnsi"/>
          <w:bCs/>
          <w:szCs w:val="20"/>
        </w:rPr>
      </w:pPr>
      <w:r>
        <w:rPr>
          <w:rFonts w:asciiTheme="minorHAnsi" w:hAnsiTheme="minorHAnsi" w:cstheme="minorHAnsi"/>
          <w:bCs/>
          <w:szCs w:val="20"/>
        </w:rPr>
        <w:t>La fiche Renseignements fournisseur</w:t>
      </w:r>
    </w:p>
    <w:p>
      <w:pPr>
        <w:pStyle w:val="Titre1"/>
      </w:pPr>
      <w:bookmarkStart w:id="34" w:name="_Toc205212176"/>
      <w:r>
        <w:t>MISE A DISPOSITION DU DOSSIER DE CONSULTATION</w:t>
      </w:r>
      <w:bookmarkEnd w:id="33"/>
      <w:bookmarkEnd w:id="34"/>
    </w:p>
    <w:p>
      <w:pPr>
        <w:jc w:val="left"/>
        <w:rPr>
          <w:rStyle w:val="Lienhypertexte"/>
          <w:rFonts w:ascii="Calibri Light" w:hAnsi="Calibri Light" w:cs="Calibri Light"/>
          <w:sz w:val="20"/>
        </w:rPr>
      </w:pPr>
      <w:r>
        <w:t xml:space="preserve">Le dossier de consultation est à télécharger </w:t>
      </w:r>
      <w:r>
        <w:rPr>
          <w:b/>
          <w:u w:val="single"/>
        </w:rPr>
        <w:t>exclusivement</w:t>
      </w:r>
      <w:r>
        <w:t xml:space="preserve"> et gratuitement dans son intégralité via le site ci-dessous (profil acheteur du Centre Hospitalier de Gonesse sur une plateforme de dématérialisation externalisée) </w:t>
      </w:r>
      <w:hyperlink r:id="rId17" w:history="1">
        <w:r>
          <w:t>Place</w:t>
        </w:r>
      </w:hyperlink>
      <w:r>
        <w:t xml:space="preserve"> - Plate-forme des achats de l’état.</w:t>
      </w:r>
    </w:p>
    <w:p>
      <w:pPr>
        <w:jc w:val="left"/>
        <w:rPr>
          <w:rStyle w:val="Lienhypertexte"/>
          <w:rFonts w:ascii="Calibri Light" w:hAnsi="Calibri Light" w:cs="Calibri Light"/>
          <w:sz w:val="20"/>
        </w:rPr>
      </w:pPr>
    </w:p>
    <w:p>
      <w:pPr>
        <w:jc w:val="center"/>
        <w:rPr>
          <w:rStyle w:val="Lienhypertexte"/>
          <w:rFonts w:ascii="Calibri Light" w:hAnsi="Calibri Light" w:cs="Calibri Light"/>
          <w:sz w:val="20"/>
        </w:rPr>
      </w:pPr>
      <w:hyperlink r:id="rId18" w:history="1">
        <w:r>
          <w:rPr>
            <w:rStyle w:val="Lienhypertexte"/>
          </w:rPr>
          <w:t>https://www.marches-publics.gouv.fr/</w:t>
        </w:r>
      </w:hyperlink>
    </w:p>
    <w:p>
      <w:pPr>
        <w:pStyle w:val="Mtexte"/>
        <w:tabs>
          <w:tab w:val="left" w:pos="709"/>
        </w:tabs>
        <w:ind w:left="709" w:firstLine="284"/>
        <w:rPr>
          <w:rFonts w:ascii="Calibri Light" w:hAnsi="Calibri Light" w:cs="Calibri Light"/>
          <w:sz w:val="20"/>
        </w:rPr>
      </w:pPr>
    </w:p>
    <w:p>
      <w:r>
        <w:t>Le candidat doit renseigner lors du téléchargement du DCE, le nom du candidat, une adresse électronique ainsi que le nom d’un correspondant afin qu’il puisse bénéficier, en tant que besoin, de toutes les informations complémentaires diffusées lors du déroulement de la présente consultation, en particulier les éventuelles précisions ou modifications.</w:t>
      </w:r>
    </w:p>
    <w:p/>
    <w:p>
      <w:pPr>
        <w:rPr>
          <w:bCs/>
        </w:rPr>
      </w:pPr>
      <w:r>
        <w:rPr>
          <w:bCs/>
        </w:rPr>
        <w:t xml:space="preserve">Afin de pouvoir décompresser et lire les documents mis à disposition par la personne publique, les soumissionnaires devront disposer des logiciels permettant de lire les formats suivants : AdobeR , </w:t>
      </w:r>
      <w:r>
        <w:rPr>
          <w:bCs/>
        </w:rPr>
        <w:lastRenderedPageBreak/>
        <w:t>AcrobatR (.pdf), et/ou Rich Text Format (.rtf), et/ou les fichiers compressés au format ZipR (.zip), ainsi que word (.doc) et excel (.xls).</w:t>
      </w:r>
    </w:p>
    <w:p>
      <w:pPr>
        <w:pStyle w:val="Titre1"/>
      </w:pPr>
      <w:bookmarkStart w:id="35" w:name="_Toc212463693"/>
      <w:bookmarkStart w:id="36" w:name="_Toc113976721"/>
      <w:bookmarkStart w:id="37" w:name="_Toc205212177"/>
      <w:r>
        <w:t>Modifications de détail au dossier de consultation</w:t>
      </w:r>
      <w:bookmarkEnd w:id="35"/>
      <w:bookmarkEnd w:id="36"/>
      <w:bookmarkEnd w:id="37"/>
    </w:p>
    <w:p>
      <w:r>
        <w:t>Le Centre Hospitalier de Saint-Denis se réserve le droit d'apporter, au plus tard six (6) jours avant la date limite fixée pour la remise des offres, des modifications aux documents de la consultation.</w:t>
      </w:r>
    </w:p>
    <w:p>
      <w:r>
        <w:t>Le décompte de ce délai se fait à compter de l'envoi des modifications aux candidats par voie électronique.</w:t>
      </w:r>
    </w:p>
    <w:p/>
    <w:p>
      <w:r>
        <w:t>Les candidats devront répondre à la consultation sur la base du dossier modifié sans pouvoir élever de réclamation à ce sujet.</w:t>
      </w:r>
    </w:p>
    <w:p/>
    <w:p>
      <w:r>
        <w:t>Si, pendant l'étude du dossier par les candidats, la date limite fixée pour la remise des candidatures est reportée, la disposition précédente est applicable en fonction de cette nouvelle date. Les candidats ne sont pas autorisés à modifier le contenu des documents de la consultation et n’ont pas à apporter de complément aux documents qui le constituent. Ils doivent en respecter l’intégralité des prescriptions et toute modification unilatérale des documents rend l’offre irrégulière.</w:t>
      </w:r>
    </w:p>
    <w:p>
      <w:pPr>
        <w:pStyle w:val="Titre2"/>
      </w:pPr>
      <w:r>
        <w:t>Groupements et forme juridique de l'attributaire</w:t>
      </w:r>
    </w:p>
    <w:p>
      <w:r>
        <w:t>Aucune forme de groupement n’est imposée à l'attributaire.</w:t>
      </w:r>
    </w:p>
    <w:p>
      <w:r>
        <w:t>Il est possible de présenter pour le présent accord-cadre, plusieurs offres en agissant à la fois en qualité de candidats individuels et de membres d’un ou de plusieurs groupements ou en qualité de membres de plusieurs groupements.</w:t>
      </w:r>
    </w:p>
    <w:p>
      <w:pPr>
        <w:pStyle w:val="Titre1"/>
      </w:pPr>
      <w:bookmarkStart w:id="38" w:name="_Toc173229253"/>
      <w:bookmarkStart w:id="39" w:name="_Toc184885368"/>
      <w:bookmarkStart w:id="40" w:name="_Toc205212178"/>
      <w:r>
        <w:t>Renseignements complémentaires</w:t>
      </w:r>
      <w:bookmarkEnd w:id="38"/>
      <w:bookmarkEnd w:id="39"/>
      <w:bookmarkEnd w:id="40"/>
    </w:p>
    <w:p>
      <w:pPr>
        <w:pStyle w:val="Corpsdetexte"/>
        <w:spacing w:line="242" w:lineRule="auto"/>
        <w:ind w:right="193"/>
        <w:rPr>
          <w:rStyle w:val="Lienhypertexte"/>
        </w:rPr>
      </w:pPr>
      <w:r>
        <w:t xml:space="preserve">Pour obtenir tous les renseignements complémentaires qui leur seraient nécessaires au cours de leur étude, les candidats devront faire parvenir leur demande UNIQUEMENT via la plateforme de dématérialisation des marchés publics au plus tard 8 jours avant la date de remise des offres  </w:t>
      </w:r>
      <w:hyperlink r:id="rId19" w:history="1">
        <w:r>
          <w:rPr>
            <w:rStyle w:val="Lienhypertexte"/>
          </w:rPr>
          <w:t>https://www.marches-publics.gouv.fr/</w:t>
        </w:r>
      </w:hyperlink>
    </w:p>
    <w:p>
      <w:pPr>
        <w:pStyle w:val="Corpsdetexte"/>
        <w:spacing w:line="242" w:lineRule="auto"/>
        <w:ind w:right="193"/>
        <w:rPr>
          <w:rStyle w:val="Lienhypertexte"/>
        </w:rPr>
      </w:pPr>
    </w:p>
    <w:p>
      <w:r>
        <w:t xml:space="preserve">Une réponse sera alors adressée, via la plate-forme </w:t>
      </w:r>
      <w:r>
        <w:rPr>
          <w:rStyle w:val="Lienhypertexte"/>
        </w:rPr>
        <w:t>https://www.marches-publics.gouv.fr/</w:t>
      </w:r>
      <w:r>
        <w:t xml:space="preserve"> , à toutes les entreprises ayant</w:t>
      </w:r>
      <w:r>
        <w:rPr>
          <w:spacing w:val="1"/>
        </w:rPr>
        <w:t xml:space="preserve"> </w:t>
      </w:r>
      <w:r>
        <w:t>retiré le dossier, 4</w:t>
      </w:r>
      <w:r>
        <w:rPr>
          <w:spacing w:val="1"/>
        </w:rPr>
        <w:t xml:space="preserve"> </w:t>
      </w:r>
      <w:r>
        <w:t>jours au plus tard</w:t>
      </w:r>
      <w:r>
        <w:rPr>
          <w:spacing w:val="-1"/>
        </w:rPr>
        <w:t xml:space="preserve"> </w:t>
      </w:r>
      <w:r>
        <w:t>avant la</w:t>
      </w:r>
      <w:r>
        <w:rPr>
          <w:spacing w:val="1"/>
        </w:rPr>
        <w:t xml:space="preserve"> </w:t>
      </w:r>
      <w:r>
        <w:t>date limite</w:t>
      </w:r>
      <w:r>
        <w:rPr>
          <w:spacing w:val="1"/>
        </w:rPr>
        <w:t xml:space="preserve"> </w:t>
      </w:r>
      <w:r>
        <w:t>de</w:t>
      </w:r>
      <w:r>
        <w:rPr>
          <w:spacing w:val="1"/>
        </w:rPr>
        <w:t xml:space="preserve"> </w:t>
      </w:r>
      <w:r>
        <w:t>réception</w:t>
      </w:r>
      <w:r>
        <w:rPr>
          <w:spacing w:val="-1"/>
        </w:rPr>
        <w:t xml:space="preserve"> </w:t>
      </w:r>
      <w:r>
        <w:t>des offres.</w:t>
      </w:r>
    </w:p>
    <w:p>
      <w:pPr>
        <w:pStyle w:val="Corpsdetexte"/>
        <w:spacing w:before="8"/>
        <w:rPr>
          <w:sz w:val="19"/>
        </w:rPr>
      </w:pPr>
    </w:p>
    <w:p>
      <w:r>
        <w:t>Les contacts téléphoniques et oraux, par mail ou par courrier ne sont pas autorisés et entraineront automatiquement le rejet de la candidature.</w:t>
      </w:r>
    </w:p>
    <w:p>
      <w:pPr>
        <w:pStyle w:val="Titre1"/>
      </w:pPr>
      <w:bookmarkStart w:id="41" w:name="_Toc113976724"/>
      <w:bookmarkStart w:id="42" w:name="_Toc205212179"/>
      <w:r>
        <w:t>VISITE DU SITE</w:t>
      </w:r>
      <w:bookmarkEnd w:id="41"/>
      <w:bookmarkEnd w:id="42"/>
    </w:p>
    <w:p>
      <w:r>
        <w:t xml:space="preserve">La visite de l’ensemble du site est obligatoire, elle aura lieu </w:t>
      </w:r>
      <w:r>
        <w:rPr>
          <w:b/>
        </w:rPr>
        <w:t>le mardi 9 Septembre</w:t>
      </w:r>
      <w:r>
        <w:t xml:space="preserve"> :</w:t>
      </w:r>
    </w:p>
    <w:p/>
    <w:p>
      <w:pPr>
        <w:pStyle w:val="Paragraphedeliste"/>
        <w:numPr>
          <w:ilvl w:val="0"/>
          <w:numId w:val="14"/>
        </w:numPr>
      </w:pPr>
      <w:r>
        <w:rPr>
          <w:b/>
        </w:rPr>
        <w:t> </w:t>
      </w:r>
      <w:r>
        <w:t xml:space="preserve"> A </w:t>
      </w:r>
      <w:r>
        <w:rPr>
          <w:b/>
        </w:rPr>
        <w:t>14h</w:t>
      </w:r>
      <w:r>
        <w:t xml:space="preserve"> au CHSD (Centre Hospitalier de Saint-Denis)</w:t>
      </w:r>
    </w:p>
    <w:p>
      <w:pPr>
        <w:pStyle w:val="Paragraphedeliste"/>
        <w:numPr>
          <w:ilvl w:val="0"/>
          <w:numId w:val="14"/>
        </w:numPr>
      </w:pPr>
      <w:r>
        <w:t>Rendez-vous au Hall du Centre Hospitalier de Saint-Denis</w:t>
      </w:r>
    </w:p>
    <w:p>
      <w:pPr>
        <w:pStyle w:val="Paragraphedeliste"/>
        <w:numPr>
          <w:ilvl w:val="0"/>
          <w:numId w:val="14"/>
        </w:numPr>
      </w:pPr>
      <w:r>
        <w:t xml:space="preserve">Le nombre de participants est </w:t>
      </w:r>
      <w:r>
        <w:rPr>
          <w:b/>
        </w:rPr>
        <w:t>limité à 4 personnes</w:t>
      </w:r>
      <w:r>
        <w:t>.</w:t>
      </w:r>
    </w:p>
    <w:p/>
    <w:p>
      <w:pPr>
        <w:rPr>
          <w:rFonts w:asciiTheme="minorHAnsi" w:hAnsiTheme="minorHAnsi" w:cstheme="minorHAnsi"/>
          <w:iCs/>
        </w:rPr>
      </w:pPr>
      <w:r>
        <w:rPr>
          <w:rStyle w:val="Accentuation"/>
          <w:rFonts w:asciiTheme="minorHAnsi" w:hAnsiTheme="minorHAnsi" w:cstheme="minorHAnsi"/>
          <w:i w:val="0"/>
        </w:rPr>
        <w:t xml:space="preserve">A l’issue de cette visite, une attestation sera délivrée à l’entreprise, qui devra en joindre une copie à son offre. </w:t>
      </w:r>
      <w:r>
        <w:rPr>
          <w:rFonts w:asciiTheme="minorHAnsi" w:hAnsiTheme="minorHAnsi" w:cstheme="minorHAnsi"/>
          <w:iCs/>
        </w:rPr>
        <w:t xml:space="preserve">Par ailleurs, veuillez adresser la liste des participants avant </w:t>
      </w:r>
      <w:r>
        <w:rPr>
          <w:rFonts w:asciiTheme="minorHAnsi" w:hAnsiTheme="minorHAnsi" w:cstheme="minorHAnsi"/>
          <w:b/>
          <w:iCs/>
        </w:rPr>
        <w:t>le</w:t>
      </w:r>
      <w:r>
        <w:rPr>
          <w:rFonts w:asciiTheme="minorHAnsi" w:hAnsiTheme="minorHAnsi" w:cstheme="minorHAnsi"/>
          <w:iCs/>
        </w:rPr>
        <w:t xml:space="preserve"> </w:t>
      </w:r>
      <w:r>
        <w:rPr>
          <w:b/>
        </w:rPr>
        <w:t>vendredi 5 Septembre</w:t>
      </w:r>
      <w:r>
        <w:t xml:space="preserve"> </w:t>
      </w:r>
      <w:r>
        <w:rPr>
          <w:rFonts w:asciiTheme="minorHAnsi" w:hAnsiTheme="minorHAnsi" w:cstheme="minorHAnsi"/>
          <w:iCs/>
        </w:rPr>
        <w:t>l’adresse suivante :</w:t>
      </w:r>
    </w:p>
    <w:p>
      <w:pPr>
        <w:jc w:val="center"/>
      </w:pPr>
      <w:r>
        <w:t xml:space="preserve"> </w:t>
      </w:r>
      <w:hyperlink r:id="rId20" w:history="1">
        <w:r>
          <w:rPr>
            <w:rStyle w:val="Lienhypertexte"/>
          </w:rPr>
          <w:t>myrline.osias@ch-stdenis.fr</w:t>
        </w:r>
      </w:hyperlink>
      <w:r>
        <w:t xml:space="preserve"> </w:t>
      </w:r>
    </w:p>
    <w:p>
      <w:pPr>
        <w:jc w:val="center"/>
      </w:pPr>
      <w:r>
        <w:t xml:space="preserve">Ou </w:t>
      </w:r>
    </w:p>
    <w:p>
      <w:pPr>
        <w:jc w:val="center"/>
      </w:pPr>
      <w:hyperlink r:id="rId21" w:history="1">
        <w:r>
          <w:rPr>
            <w:rStyle w:val="Lienhypertexte"/>
          </w:rPr>
          <w:t>fatima.zemali@ch-stdenis.fr</w:t>
        </w:r>
      </w:hyperlink>
      <w:r>
        <w:t xml:space="preserve"> </w:t>
      </w:r>
    </w:p>
    <w:p>
      <w:pPr>
        <w:pStyle w:val="Titre1"/>
      </w:pPr>
      <w:bookmarkStart w:id="43" w:name="_Toc113976725"/>
      <w:bookmarkStart w:id="44" w:name="_Toc205212180"/>
      <w:r>
        <w:lastRenderedPageBreak/>
        <w:t>DOSSIER A PRODUIRE PAR LES CANDIDATS</w:t>
      </w:r>
      <w:bookmarkEnd w:id="43"/>
      <w:bookmarkEnd w:id="44"/>
    </w:p>
    <w:p>
      <w:pPr>
        <w:pStyle w:val="Titre2"/>
      </w:pPr>
      <w:bookmarkStart w:id="45" w:name="_Toc113976726"/>
      <w:r>
        <w:t>Documents à produire</w:t>
      </w:r>
      <w:bookmarkEnd w:id="45"/>
      <w:r>
        <w:t xml:space="preserve"> au titre de l’offre</w:t>
      </w:r>
    </w:p>
    <w:p>
      <w:bookmarkStart w:id="46" w:name="_Toc211406752"/>
      <w:bookmarkStart w:id="47" w:name="_Toc212463700"/>
    </w:p>
    <w:p>
      <w:r>
        <w:t>Pour pouvoir ouvrir les offres électroniques dans les meilleures conditions, il est demandé aux candidats, dans la mesure du possible, d’intituler les fichiers composant l’offre selon les modalités suivantes :</w:t>
      </w:r>
    </w:p>
    <w:p/>
    <w:p/>
    <w:tbl>
      <w:tblPr>
        <w:tblStyle w:val="TableauGrille2-Accentuation3"/>
        <w:tblW w:w="9795" w:type="dxa"/>
        <w:tblInd w:w="-355" w:type="dxa"/>
        <w:tblLook w:val="04A0" w:firstRow="1" w:lastRow="0" w:firstColumn="1" w:lastColumn="0" w:noHBand="0" w:noVBand="1"/>
      </w:tblPr>
      <w:tblGrid>
        <w:gridCol w:w="1354"/>
        <w:gridCol w:w="2636"/>
        <w:gridCol w:w="3525"/>
        <w:gridCol w:w="2280"/>
      </w:tblGrid>
      <w:tr>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1354" w:type="dxa"/>
          </w:tcPr>
          <w:p>
            <w:pPr>
              <w:jc w:val="center"/>
              <w:rPr>
                <w:rFonts w:cs="Calibri"/>
                <w:bCs w:val="0"/>
                <w:sz w:val="18"/>
                <w:szCs w:val="18"/>
              </w:rPr>
            </w:pPr>
            <w:r>
              <w:rPr>
                <w:rFonts w:cs="Calibri"/>
                <w:b w:val="0"/>
                <w:bCs w:val="0"/>
                <w:sz w:val="18"/>
                <w:szCs w:val="18"/>
              </w:rPr>
              <w:t>Numérotation pièce</w:t>
            </w:r>
          </w:p>
        </w:tc>
        <w:tc>
          <w:tcPr>
            <w:tcW w:w="2636" w:type="dxa"/>
            <w:hideMark/>
          </w:tcPr>
          <w:p>
            <w:pPr>
              <w:jc w:val="center"/>
              <w:cnfStyle w:val="100000000000" w:firstRow="1" w:lastRow="0" w:firstColumn="0" w:lastColumn="0" w:oddVBand="0" w:evenVBand="0" w:oddHBand="0" w:evenHBand="0" w:firstRowFirstColumn="0" w:firstRowLastColumn="0" w:lastRowFirstColumn="0" w:lastRowLastColumn="0"/>
              <w:rPr>
                <w:rFonts w:cs="Calibri"/>
                <w:bCs w:val="0"/>
                <w:sz w:val="18"/>
                <w:szCs w:val="18"/>
              </w:rPr>
            </w:pPr>
            <w:r>
              <w:rPr>
                <w:rFonts w:cs="Calibri"/>
                <w:bCs w:val="0"/>
                <w:sz w:val="18"/>
                <w:szCs w:val="18"/>
              </w:rPr>
              <w:t>Pièces demandées</w:t>
            </w:r>
          </w:p>
        </w:tc>
        <w:tc>
          <w:tcPr>
            <w:tcW w:w="3525" w:type="dxa"/>
            <w:hideMark/>
          </w:tcPr>
          <w:p>
            <w:pPr>
              <w:jc w:val="center"/>
              <w:cnfStyle w:val="100000000000" w:firstRow="1" w:lastRow="0" w:firstColumn="0" w:lastColumn="0" w:oddVBand="0" w:evenVBand="0" w:oddHBand="0" w:evenHBand="0" w:firstRowFirstColumn="0" w:firstRowLastColumn="0" w:lastRowFirstColumn="0" w:lastRowLastColumn="0"/>
              <w:rPr>
                <w:rFonts w:cs="Calibri"/>
                <w:bCs w:val="0"/>
                <w:sz w:val="18"/>
                <w:szCs w:val="18"/>
              </w:rPr>
            </w:pPr>
            <w:r>
              <w:rPr>
                <w:rFonts w:cs="Calibri"/>
                <w:bCs w:val="0"/>
                <w:sz w:val="18"/>
                <w:szCs w:val="18"/>
              </w:rPr>
              <w:t>Nom de fichier recommandé</w:t>
            </w:r>
          </w:p>
        </w:tc>
        <w:tc>
          <w:tcPr>
            <w:tcW w:w="2280" w:type="dxa"/>
            <w:hideMark/>
          </w:tcPr>
          <w:p>
            <w:pPr>
              <w:jc w:val="center"/>
              <w:cnfStyle w:val="100000000000" w:firstRow="1" w:lastRow="0" w:firstColumn="0" w:lastColumn="0" w:oddVBand="0" w:evenVBand="0" w:oddHBand="0" w:evenHBand="0" w:firstRowFirstColumn="0" w:firstRowLastColumn="0" w:lastRowFirstColumn="0" w:lastRowLastColumn="0"/>
              <w:rPr>
                <w:rFonts w:cs="Calibri"/>
                <w:bCs w:val="0"/>
                <w:sz w:val="18"/>
                <w:szCs w:val="18"/>
              </w:rPr>
            </w:pPr>
            <w:r>
              <w:rPr>
                <w:rFonts w:cs="Calibri"/>
                <w:bCs w:val="0"/>
                <w:sz w:val="18"/>
                <w:szCs w:val="18"/>
              </w:rPr>
              <w:t>Remarques</w:t>
            </w:r>
          </w:p>
        </w:tc>
      </w:tr>
      <w:tr>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1354" w:type="dxa"/>
          </w:tcPr>
          <w:p>
            <w:pPr>
              <w:jc w:val="center"/>
              <w:rPr>
                <w:rFonts w:cs="Calibri"/>
                <w:b w:val="0"/>
                <w:bCs w:val="0"/>
                <w:sz w:val="18"/>
                <w:szCs w:val="18"/>
              </w:rPr>
            </w:pPr>
            <w:r>
              <w:rPr>
                <w:rFonts w:cs="Calibri"/>
                <w:b w:val="0"/>
                <w:bCs w:val="0"/>
                <w:sz w:val="18"/>
                <w:szCs w:val="18"/>
              </w:rPr>
              <w:t>Pièce n°1</w:t>
            </w:r>
          </w:p>
        </w:tc>
        <w:tc>
          <w:tcPr>
            <w:tcW w:w="2636" w:type="dxa"/>
            <w:hideMark/>
          </w:tcPr>
          <w:p>
            <w:pPr>
              <w:jc w:val="center"/>
              <w:cnfStyle w:val="000000100000" w:firstRow="0" w:lastRow="0" w:firstColumn="0" w:lastColumn="0" w:oddVBand="0" w:evenVBand="0" w:oddHBand="1" w:evenHBand="0" w:firstRowFirstColumn="0" w:firstRowLastColumn="0" w:lastRowFirstColumn="0" w:lastRowLastColumn="0"/>
              <w:rPr>
                <w:rFonts w:cs="Calibri"/>
                <w:sz w:val="18"/>
                <w:szCs w:val="18"/>
              </w:rPr>
            </w:pPr>
            <w:r>
              <w:rPr>
                <w:rFonts w:cs="Calibri"/>
                <w:bCs/>
                <w:sz w:val="18"/>
                <w:szCs w:val="18"/>
              </w:rPr>
              <w:t>Formulaire DC1 –</w:t>
            </w:r>
          </w:p>
          <w:p>
            <w:pPr>
              <w:jc w:val="center"/>
              <w:cnfStyle w:val="000000100000" w:firstRow="0" w:lastRow="0" w:firstColumn="0" w:lastColumn="0" w:oddVBand="0" w:evenVBand="0" w:oddHBand="1" w:evenHBand="0" w:firstRowFirstColumn="0" w:firstRowLastColumn="0" w:lastRowFirstColumn="0" w:lastRowLastColumn="0"/>
              <w:rPr>
                <w:rFonts w:cs="Calibri"/>
                <w:bCs/>
                <w:sz w:val="18"/>
                <w:szCs w:val="18"/>
              </w:rPr>
            </w:pPr>
            <w:r>
              <w:rPr>
                <w:rFonts w:cs="Calibri"/>
                <w:bCs/>
                <w:sz w:val="18"/>
                <w:szCs w:val="18"/>
              </w:rPr>
              <w:t>Lettre de candidature</w:t>
            </w:r>
          </w:p>
        </w:tc>
        <w:tc>
          <w:tcPr>
            <w:tcW w:w="3525" w:type="dxa"/>
            <w:hideMark/>
          </w:tcPr>
          <w:p>
            <w:pPr>
              <w:jc w:val="center"/>
              <w:cnfStyle w:val="000000100000" w:firstRow="0" w:lastRow="0" w:firstColumn="0" w:lastColumn="0" w:oddVBand="0" w:evenVBand="0" w:oddHBand="1" w:evenHBand="0" w:firstRowFirstColumn="0" w:firstRowLastColumn="0" w:lastRowFirstColumn="0" w:lastRowLastColumn="0"/>
              <w:rPr>
                <w:rFonts w:cs="Calibri"/>
                <w:sz w:val="18"/>
                <w:szCs w:val="18"/>
              </w:rPr>
            </w:pPr>
            <w:r>
              <w:rPr>
                <w:rFonts w:cs="Calibri"/>
                <w:sz w:val="18"/>
                <w:szCs w:val="18"/>
              </w:rPr>
              <w:t>DC1_NomEntreprise</w:t>
            </w:r>
          </w:p>
        </w:tc>
        <w:tc>
          <w:tcPr>
            <w:tcW w:w="2280" w:type="dxa"/>
            <w:hideMark/>
          </w:tcPr>
          <w:p>
            <w:pPr>
              <w:jc w:val="center"/>
              <w:cnfStyle w:val="000000100000" w:firstRow="0" w:lastRow="0" w:firstColumn="0" w:lastColumn="0" w:oddVBand="0" w:evenVBand="0" w:oddHBand="1" w:evenHBand="0" w:firstRowFirstColumn="0" w:firstRowLastColumn="0" w:lastRowFirstColumn="0" w:lastRowLastColumn="0"/>
              <w:rPr>
                <w:rFonts w:cs="Calibri"/>
                <w:sz w:val="18"/>
                <w:szCs w:val="18"/>
              </w:rPr>
            </w:pPr>
            <w:r>
              <w:rPr>
                <w:rFonts w:cs="Calibri"/>
                <w:sz w:val="18"/>
                <w:szCs w:val="18"/>
              </w:rPr>
              <w:t>1 seul fichier pour tous les lots concernés</w:t>
            </w:r>
          </w:p>
        </w:tc>
      </w:tr>
      <w:tr>
        <w:trPr>
          <w:trHeight w:val="478"/>
        </w:trPr>
        <w:tc>
          <w:tcPr>
            <w:cnfStyle w:val="001000000000" w:firstRow="0" w:lastRow="0" w:firstColumn="1" w:lastColumn="0" w:oddVBand="0" w:evenVBand="0" w:oddHBand="0" w:evenHBand="0" w:firstRowFirstColumn="0" w:firstRowLastColumn="0" w:lastRowFirstColumn="0" w:lastRowLastColumn="0"/>
            <w:tcW w:w="1354" w:type="dxa"/>
          </w:tcPr>
          <w:p>
            <w:pPr>
              <w:jc w:val="center"/>
              <w:rPr>
                <w:rFonts w:cs="Calibri"/>
                <w:b w:val="0"/>
                <w:bCs w:val="0"/>
                <w:sz w:val="18"/>
                <w:szCs w:val="18"/>
              </w:rPr>
            </w:pPr>
            <w:r>
              <w:rPr>
                <w:rFonts w:cs="Calibri"/>
                <w:b w:val="0"/>
                <w:bCs w:val="0"/>
                <w:sz w:val="18"/>
                <w:szCs w:val="18"/>
              </w:rPr>
              <w:t>Pièce n°2</w:t>
            </w:r>
          </w:p>
        </w:tc>
        <w:tc>
          <w:tcPr>
            <w:tcW w:w="2636" w:type="dxa"/>
            <w:hideMark/>
          </w:tcPr>
          <w:p>
            <w:pPr>
              <w:jc w:val="center"/>
              <w:cnfStyle w:val="000000000000" w:firstRow="0" w:lastRow="0" w:firstColumn="0" w:lastColumn="0" w:oddVBand="0" w:evenVBand="0" w:oddHBand="0" w:evenHBand="0" w:firstRowFirstColumn="0" w:firstRowLastColumn="0" w:lastRowFirstColumn="0" w:lastRowLastColumn="0"/>
              <w:rPr>
                <w:rFonts w:cs="Calibri"/>
                <w:bCs/>
                <w:sz w:val="18"/>
                <w:szCs w:val="18"/>
              </w:rPr>
            </w:pPr>
            <w:r>
              <w:rPr>
                <w:rFonts w:cs="Calibri"/>
                <w:bCs/>
                <w:sz w:val="18"/>
                <w:szCs w:val="18"/>
              </w:rPr>
              <w:t>Formulaire DC2 – Déclaration du candidat</w:t>
            </w:r>
          </w:p>
        </w:tc>
        <w:tc>
          <w:tcPr>
            <w:tcW w:w="3525" w:type="dxa"/>
            <w:hideMark/>
          </w:tcPr>
          <w:p>
            <w:pPr>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DC2_NomEntreprise</w:t>
            </w:r>
          </w:p>
        </w:tc>
        <w:tc>
          <w:tcPr>
            <w:tcW w:w="2280" w:type="dxa"/>
            <w:hideMark/>
          </w:tcPr>
          <w:p>
            <w:pPr>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1 seul fichier pour tous les lots concernés</w:t>
            </w:r>
          </w:p>
        </w:tc>
      </w:tr>
      <w:tr>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1354" w:type="dxa"/>
          </w:tcPr>
          <w:p>
            <w:pPr>
              <w:jc w:val="center"/>
              <w:rPr>
                <w:rFonts w:cs="Calibri"/>
                <w:b w:val="0"/>
                <w:bCs w:val="0"/>
                <w:sz w:val="18"/>
                <w:szCs w:val="18"/>
              </w:rPr>
            </w:pPr>
            <w:r>
              <w:rPr>
                <w:rFonts w:cs="Calibri"/>
                <w:b w:val="0"/>
                <w:bCs w:val="0"/>
                <w:sz w:val="18"/>
                <w:szCs w:val="18"/>
              </w:rPr>
              <w:t>Pièce n°3</w:t>
            </w:r>
          </w:p>
        </w:tc>
        <w:tc>
          <w:tcPr>
            <w:tcW w:w="2636" w:type="dxa"/>
          </w:tcPr>
          <w:p>
            <w:pPr>
              <w:jc w:val="center"/>
              <w:cnfStyle w:val="000000100000" w:firstRow="0" w:lastRow="0" w:firstColumn="0" w:lastColumn="0" w:oddVBand="0" w:evenVBand="0" w:oddHBand="1" w:evenHBand="0" w:firstRowFirstColumn="0" w:firstRowLastColumn="0" w:lastRowFirstColumn="0" w:lastRowLastColumn="0"/>
              <w:rPr>
                <w:rFonts w:cs="Calibri"/>
                <w:bCs/>
                <w:sz w:val="18"/>
                <w:szCs w:val="18"/>
              </w:rPr>
            </w:pPr>
            <w:r>
              <w:rPr>
                <w:rFonts w:cs="Calibri"/>
                <w:bCs/>
                <w:sz w:val="18"/>
                <w:szCs w:val="18"/>
              </w:rPr>
              <w:t>Déclaration sur l’honneur</w:t>
            </w:r>
          </w:p>
        </w:tc>
        <w:tc>
          <w:tcPr>
            <w:tcW w:w="3525" w:type="dxa"/>
          </w:tcPr>
          <w:p>
            <w:pPr>
              <w:jc w:val="center"/>
              <w:cnfStyle w:val="000000100000" w:firstRow="0" w:lastRow="0" w:firstColumn="0" w:lastColumn="0" w:oddVBand="0" w:evenVBand="0" w:oddHBand="1" w:evenHBand="0" w:firstRowFirstColumn="0" w:firstRowLastColumn="0" w:lastRowFirstColumn="0" w:lastRowLastColumn="0"/>
              <w:rPr>
                <w:rFonts w:cs="Calibri"/>
                <w:sz w:val="18"/>
                <w:szCs w:val="18"/>
              </w:rPr>
            </w:pPr>
            <w:r>
              <w:rPr>
                <w:rFonts w:cs="Calibri"/>
                <w:sz w:val="18"/>
                <w:szCs w:val="18"/>
              </w:rPr>
              <w:t>Declaration_NomEntreprise</w:t>
            </w:r>
          </w:p>
        </w:tc>
        <w:tc>
          <w:tcPr>
            <w:tcW w:w="2280" w:type="dxa"/>
          </w:tcPr>
          <w:p>
            <w:pPr>
              <w:jc w:val="center"/>
              <w:cnfStyle w:val="000000100000" w:firstRow="0" w:lastRow="0" w:firstColumn="0" w:lastColumn="0" w:oddVBand="0" w:evenVBand="0" w:oddHBand="1" w:evenHBand="0" w:firstRowFirstColumn="0" w:firstRowLastColumn="0" w:lastRowFirstColumn="0" w:lastRowLastColumn="0"/>
              <w:rPr>
                <w:rFonts w:cs="Calibri"/>
                <w:sz w:val="18"/>
                <w:szCs w:val="18"/>
              </w:rPr>
            </w:pPr>
            <w:r>
              <w:rPr>
                <w:rFonts w:cs="Calibri"/>
                <w:sz w:val="18"/>
                <w:szCs w:val="18"/>
              </w:rPr>
              <w:t>1 fichier par lot</w:t>
            </w:r>
          </w:p>
        </w:tc>
      </w:tr>
      <w:tr>
        <w:trPr>
          <w:trHeight w:val="478"/>
        </w:trPr>
        <w:tc>
          <w:tcPr>
            <w:cnfStyle w:val="001000000000" w:firstRow="0" w:lastRow="0" w:firstColumn="1" w:lastColumn="0" w:oddVBand="0" w:evenVBand="0" w:oddHBand="0" w:evenHBand="0" w:firstRowFirstColumn="0" w:firstRowLastColumn="0" w:lastRowFirstColumn="0" w:lastRowLastColumn="0"/>
            <w:tcW w:w="1354" w:type="dxa"/>
          </w:tcPr>
          <w:p>
            <w:pPr>
              <w:jc w:val="center"/>
              <w:rPr>
                <w:rFonts w:cs="Calibri"/>
                <w:b w:val="0"/>
                <w:bCs w:val="0"/>
                <w:sz w:val="18"/>
                <w:szCs w:val="18"/>
              </w:rPr>
            </w:pPr>
            <w:r>
              <w:rPr>
                <w:rFonts w:cs="Calibri"/>
                <w:b w:val="0"/>
                <w:bCs w:val="0"/>
                <w:sz w:val="18"/>
                <w:szCs w:val="18"/>
              </w:rPr>
              <w:t>Pièce n°4</w:t>
            </w:r>
          </w:p>
        </w:tc>
        <w:tc>
          <w:tcPr>
            <w:tcW w:w="2636" w:type="dxa"/>
          </w:tcPr>
          <w:p>
            <w:pPr>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bCs/>
                <w:sz w:val="18"/>
                <w:szCs w:val="18"/>
              </w:rPr>
              <w:t>Extrait K-bis</w:t>
            </w:r>
          </w:p>
        </w:tc>
        <w:tc>
          <w:tcPr>
            <w:tcW w:w="3525" w:type="dxa"/>
          </w:tcPr>
          <w:p>
            <w:pPr>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KBIS_NomEntreprise</w:t>
            </w:r>
          </w:p>
        </w:tc>
        <w:tc>
          <w:tcPr>
            <w:tcW w:w="2280" w:type="dxa"/>
          </w:tcPr>
          <w:p>
            <w:pPr>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1 fichier par lot</w:t>
            </w:r>
          </w:p>
        </w:tc>
      </w:tr>
      <w:tr>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1354" w:type="dxa"/>
          </w:tcPr>
          <w:p>
            <w:pPr>
              <w:jc w:val="center"/>
              <w:rPr>
                <w:rFonts w:cs="Calibri"/>
                <w:b w:val="0"/>
                <w:bCs w:val="0"/>
                <w:sz w:val="18"/>
                <w:szCs w:val="18"/>
              </w:rPr>
            </w:pPr>
            <w:r>
              <w:rPr>
                <w:rFonts w:cs="Calibri"/>
                <w:b w:val="0"/>
                <w:bCs w:val="0"/>
                <w:sz w:val="18"/>
                <w:szCs w:val="18"/>
              </w:rPr>
              <w:t>Pièce n°5</w:t>
            </w:r>
          </w:p>
        </w:tc>
        <w:tc>
          <w:tcPr>
            <w:tcW w:w="2636" w:type="dxa"/>
          </w:tcPr>
          <w:p>
            <w:pPr>
              <w:jc w:val="center"/>
              <w:cnfStyle w:val="000000100000" w:firstRow="0" w:lastRow="0" w:firstColumn="0" w:lastColumn="0" w:oddVBand="0" w:evenVBand="0" w:oddHBand="1" w:evenHBand="0" w:firstRowFirstColumn="0" w:firstRowLastColumn="0" w:lastRowFirstColumn="0" w:lastRowLastColumn="0"/>
              <w:rPr>
                <w:rFonts w:cs="Calibri"/>
                <w:bCs/>
                <w:sz w:val="18"/>
                <w:szCs w:val="18"/>
              </w:rPr>
            </w:pPr>
            <w:r>
              <w:rPr>
                <w:sz w:val="18"/>
                <w:szCs w:val="18"/>
              </w:rPr>
              <w:t>Présentation de la société et des moyens humains et matériels</w:t>
            </w:r>
          </w:p>
        </w:tc>
        <w:tc>
          <w:tcPr>
            <w:tcW w:w="3525" w:type="dxa"/>
          </w:tcPr>
          <w:p>
            <w:pPr>
              <w:jc w:val="center"/>
              <w:cnfStyle w:val="000000100000" w:firstRow="0" w:lastRow="0" w:firstColumn="0" w:lastColumn="0" w:oddVBand="0" w:evenVBand="0" w:oddHBand="1" w:evenHBand="0" w:firstRowFirstColumn="0" w:firstRowLastColumn="0" w:lastRowFirstColumn="0" w:lastRowLastColumn="0"/>
              <w:rPr>
                <w:rFonts w:cs="Calibri"/>
                <w:sz w:val="18"/>
                <w:szCs w:val="18"/>
              </w:rPr>
            </w:pPr>
            <w:r>
              <w:rPr>
                <w:rFonts w:cs="Calibri"/>
                <w:sz w:val="18"/>
                <w:szCs w:val="18"/>
              </w:rPr>
              <w:t>Presentation_NomEntreprise</w:t>
            </w:r>
          </w:p>
        </w:tc>
        <w:tc>
          <w:tcPr>
            <w:tcW w:w="2280" w:type="dxa"/>
          </w:tcPr>
          <w:p>
            <w:pPr>
              <w:jc w:val="center"/>
              <w:cnfStyle w:val="000000100000" w:firstRow="0" w:lastRow="0" w:firstColumn="0" w:lastColumn="0" w:oddVBand="0" w:evenVBand="0" w:oddHBand="1" w:evenHBand="0" w:firstRowFirstColumn="0" w:firstRowLastColumn="0" w:lastRowFirstColumn="0" w:lastRowLastColumn="0"/>
              <w:rPr>
                <w:rFonts w:cs="Calibri"/>
                <w:sz w:val="18"/>
                <w:szCs w:val="18"/>
              </w:rPr>
            </w:pPr>
            <w:r>
              <w:rPr>
                <w:rFonts w:cs="Calibri"/>
                <w:sz w:val="18"/>
                <w:szCs w:val="18"/>
              </w:rPr>
              <w:t>1 seul fichier pour tous les lots concernés</w:t>
            </w:r>
          </w:p>
        </w:tc>
      </w:tr>
      <w:tr>
        <w:trPr>
          <w:trHeight w:val="238"/>
        </w:trPr>
        <w:tc>
          <w:tcPr>
            <w:cnfStyle w:val="001000000000" w:firstRow="0" w:lastRow="0" w:firstColumn="1" w:lastColumn="0" w:oddVBand="0" w:evenVBand="0" w:oddHBand="0" w:evenHBand="0" w:firstRowFirstColumn="0" w:firstRowLastColumn="0" w:lastRowFirstColumn="0" w:lastRowLastColumn="0"/>
            <w:tcW w:w="1354" w:type="dxa"/>
          </w:tcPr>
          <w:p>
            <w:pPr>
              <w:jc w:val="center"/>
              <w:rPr>
                <w:rFonts w:cs="Calibri"/>
                <w:b w:val="0"/>
                <w:bCs w:val="0"/>
                <w:sz w:val="18"/>
                <w:szCs w:val="18"/>
              </w:rPr>
            </w:pPr>
            <w:r>
              <w:rPr>
                <w:rFonts w:cs="Calibri"/>
                <w:b w:val="0"/>
                <w:bCs w:val="0"/>
                <w:sz w:val="18"/>
                <w:szCs w:val="18"/>
              </w:rPr>
              <w:t>Pièce n°6</w:t>
            </w:r>
          </w:p>
        </w:tc>
        <w:tc>
          <w:tcPr>
            <w:tcW w:w="2636" w:type="dxa"/>
          </w:tcPr>
          <w:p>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Attestation d’assurance « responsabilité civile » et « décennale » en cours de validité.</w:t>
            </w:r>
          </w:p>
          <w:p>
            <w:pPr>
              <w:jc w:val="center"/>
              <w:cnfStyle w:val="000000000000" w:firstRow="0" w:lastRow="0" w:firstColumn="0" w:lastColumn="0" w:oddVBand="0" w:evenVBand="0" w:oddHBand="0" w:evenHBand="0" w:firstRowFirstColumn="0" w:firstRowLastColumn="0" w:lastRowFirstColumn="0" w:lastRowLastColumn="0"/>
              <w:rPr>
                <w:rFonts w:cs="Calibri"/>
                <w:bCs/>
                <w:sz w:val="18"/>
                <w:szCs w:val="18"/>
              </w:rPr>
            </w:pPr>
          </w:p>
        </w:tc>
        <w:tc>
          <w:tcPr>
            <w:tcW w:w="3525" w:type="dxa"/>
          </w:tcPr>
          <w:p>
            <w:pPr>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RespCivileDecennale_NomEntreprise</w:t>
            </w:r>
          </w:p>
        </w:tc>
        <w:tc>
          <w:tcPr>
            <w:tcW w:w="2280" w:type="dxa"/>
          </w:tcPr>
          <w:p>
            <w:pPr>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1 seul fichier pour tous les lots concernés</w:t>
            </w:r>
          </w:p>
        </w:tc>
      </w:tr>
      <w:tr>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1354" w:type="dxa"/>
          </w:tcPr>
          <w:p>
            <w:pPr>
              <w:jc w:val="center"/>
              <w:rPr>
                <w:rFonts w:cs="Calibri"/>
                <w:b w:val="0"/>
                <w:bCs w:val="0"/>
                <w:sz w:val="18"/>
                <w:szCs w:val="18"/>
              </w:rPr>
            </w:pPr>
            <w:r>
              <w:rPr>
                <w:rFonts w:cs="Calibri"/>
                <w:b w:val="0"/>
                <w:bCs w:val="0"/>
                <w:sz w:val="18"/>
                <w:szCs w:val="18"/>
              </w:rPr>
              <w:t>Pièce n°7 (Facultatif</w:t>
            </w:r>
            <w:r>
              <w:rPr>
                <w:rFonts w:ascii="Segoe UI Emoji" w:hAnsi="Segoe UI Emoji" w:cs="Segoe UI Emoji"/>
                <w:noProof/>
                <w:sz w:val="18"/>
                <w:szCs w:val="18"/>
              </w:rPr>
              <w:t>⚠️</w:t>
            </w:r>
            <w:r>
              <w:rPr>
                <w:rFonts w:ascii="Segoe UI Emoji" w:hAnsi="Segoe UI Emoji" w:cs="Segoe UI Emoji"/>
                <w:b w:val="0"/>
                <w:noProof/>
                <w:sz w:val="18"/>
                <w:szCs w:val="18"/>
              </w:rPr>
              <w:t>)</w:t>
            </w:r>
          </w:p>
        </w:tc>
        <w:tc>
          <w:tcPr>
            <w:tcW w:w="2636" w:type="dxa"/>
          </w:tcPr>
          <w:p>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Les attestations et certificats délivrés par les administrations et organismes compétents</w:t>
            </w:r>
          </w:p>
        </w:tc>
        <w:tc>
          <w:tcPr>
            <w:tcW w:w="3525" w:type="dxa"/>
          </w:tcPr>
          <w:p>
            <w:pPr>
              <w:jc w:val="center"/>
              <w:cnfStyle w:val="000000100000" w:firstRow="0" w:lastRow="0" w:firstColumn="0" w:lastColumn="0" w:oddVBand="0" w:evenVBand="0" w:oddHBand="1" w:evenHBand="0" w:firstRowFirstColumn="0" w:firstRowLastColumn="0" w:lastRowFirstColumn="0" w:lastRowLastColumn="0"/>
              <w:rPr>
                <w:rFonts w:cs="Calibri"/>
                <w:sz w:val="18"/>
                <w:szCs w:val="18"/>
              </w:rPr>
            </w:pPr>
            <w:r>
              <w:rPr>
                <w:rFonts w:cs="Calibri"/>
                <w:sz w:val="18"/>
                <w:szCs w:val="18"/>
              </w:rPr>
              <w:t>AttestationsCertification_NomEntreprise</w:t>
            </w:r>
          </w:p>
          <w:p>
            <w:pPr>
              <w:jc w:val="center"/>
              <w:cnfStyle w:val="000000100000" w:firstRow="0" w:lastRow="0" w:firstColumn="0" w:lastColumn="0" w:oddVBand="0" w:evenVBand="0" w:oddHBand="1" w:evenHBand="0" w:firstRowFirstColumn="0" w:firstRowLastColumn="0" w:lastRowFirstColumn="0" w:lastRowLastColumn="0"/>
              <w:rPr>
                <w:rFonts w:cs="Calibri"/>
                <w:sz w:val="18"/>
                <w:szCs w:val="18"/>
              </w:rPr>
            </w:pPr>
          </w:p>
          <w:p>
            <w:pPr>
              <w:jc w:val="center"/>
              <w:cnfStyle w:val="000000100000" w:firstRow="0" w:lastRow="0" w:firstColumn="0" w:lastColumn="0" w:oddVBand="0" w:evenVBand="0" w:oddHBand="1" w:evenHBand="0" w:firstRowFirstColumn="0" w:firstRowLastColumn="0" w:lastRowFirstColumn="0" w:lastRowLastColumn="0"/>
              <w:rPr>
                <w:rFonts w:cs="Calibri"/>
                <w:sz w:val="18"/>
                <w:szCs w:val="18"/>
              </w:rPr>
            </w:pPr>
          </w:p>
        </w:tc>
        <w:tc>
          <w:tcPr>
            <w:tcW w:w="2280" w:type="dxa"/>
          </w:tcPr>
          <w:p>
            <w:pPr>
              <w:jc w:val="center"/>
              <w:cnfStyle w:val="000000100000" w:firstRow="0" w:lastRow="0" w:firstColumn="0" w:lastColumn="0" w:oddVBand="0" w:evenVBand="0" w:oddHBand="1" w:evenHBand="0" w:firstRowFirstColumn="0" w:firstRowLastColumn="0" w:lastRowFirstColumn="0" w:lastRowLastColumn="0"/>
              <w:rPr>
                <w:rFonts w:cs="Calibri"/>
                <w:sz w:val="18"/>
                <w:szCs w:val="18"/>
              </w:rPr>
            </w:pPr>
            <w:r>
              <w:rPr>
                <w:rFonts w:cs="Calibri"/>
                <w:sz w:val="18"/>
                <w:szCs w:val="18"/>
              </w:rPr>
              <w:t>1 seul fichier pour tous les lots concernés</w:t>
            </w:r>
          </w:p>
        </w:tc>
      </w:tr>
      <w:tr>
        <w:trPr>
          <w:trHeight w:val="238"/>
        </w:trPr>
        <w:tc>
          <w:tcPr>
            <w:cnfStyle w:val="001000000000" w:firstRow="0" w:lastRow="0" w:firstColumn="1" w:lastColumn="0" w:oddVBand="0" w:evenVBand="0" w:oddHBand="0" w:evenHBand="0" w:firstRowFirstColumn="0" w:firstRowLastColumn="0" w:lastRowFirstColumn="0" w:lastRowLastColumn="0"/>
            <w:tcW w:w="1354" w:type="dxa"/>
          </w:tcPr>
          <w:p>
            <w:pPr>
              <w:jc w:val="center"/>
              <w:rPr>
                <w:rFonts w:cs="Calibri"/>
                <w:b w:val="0"/>
                <w:bCs w:val="0"/>
                <w:sz w:val="18"/>
                <w:szCs w:val="18"/>
              </w:rPr>
            </w:pPr>
            <w:r>
              <w:rPr>
                <w:rFonts w:cs="Calibri"/>
                <w:b w:val="0"/>
                <w:bCs w:val="0"/>
                <w:sz w:val="18"/>
                <w:szCs w:val="18"/>
              </w:rPr>
              <w:t>Pièce n°8</w:t>
            </w:r>
          </w:p>
        </w:tc>
        <w:tc>
          <w:tcPr>
            <w:tcW w:w="2636" w:type="dxa"/>
          </w:tcPr>
          <w:p>
            <w:pPr>
              <w:jc w:val="center"/>
              <w:cnfStyle w:val="000000000000" w:firstRow="0" w:lastRow="0" w:firstColumn="0" w:lastColumn="0" w:oddVBand="0" w:evenVBand="0" w:oddHBand="0" w:evenHBand="0" w:firstRowFirstColumn="0" w:firstRowLastColumn="0" w:lastRowFirstColumn="0" w:lastRowLastColumn="0"/>
              <w:rPr>
                <w:rFonts w:cs="Calibri"/>
                <w:bCs/>
                <w:sz w:val="18"/>
                <w:szCs w:val="18"/>
              </w:rPr>
            </w:pPr>
            <w:r>
              <w:rPr>
                <w:rFonts w:cs="Calibri"/>
                <w:bCs/>
                <w:sz w:val="18"/>
                <w:szCs w:val="18"/>
              </w:rPr>
              <w:t>Acte d’engagement</w:t>
            </w:r>
          </w:p>
        </w:tc>
        <w:tc>
          <w:tcPr>
            <w:tcW w:w="3525" w:type="dxa"/>
          </w:tcPr>
          <w:p>
            <w:pPr>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AE_NomEntreprise</w:t>
            </w:r>
          </w:p>
        </w:tc>
        <w:tc>
          <w:tcPr>
            <w:tcW w:w="2280" w:type="dxa"/>
          </w:tcPr>
          <w:p>
            <w:pPr>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1 seul fichier pour tous les lots concernés</w:t>
            </w:r>
          </w:p>
        </w:tc>
      </w:tr>
      <w:tr>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1354" w:type="dxa"/>
          </w:tcPr>
          <w:p>
            <w:pPr>
              <w:jc w:val="center"/>
              <w:rPr>
                <w:rFonts w:cs="Calibri"/>
                <w:b w:val="0"/>
                <w:bCs w:val="0"/>
                <w:sz w:val="18"/>
                <w:szCs w:val="18"/>
              </w:rPr>
            </w:pPr>
            <w:r>
              <w:rPr>
                <w:rFonts w:cs="Calibri"/>
                <w:b w:val="0"/>
                <w:bCs w:val="0"/>
                <w:sz w:val="18"/>
                <w:szCs w:val="18"/>
              </w:rPr>
              <w:t>Pièce n°9</w:t>
            </w:r>
          </w:p>
        </w:tc>
        <w:tc>
          <w:tcPr>
            <w:tcW w:w="2636" w:type="dxa"/>
          </w:tcPr>
          <w:p>
            <w:pPr>
              <w:jc w:val="center"/>
              <w:cnfStyle w:val="000000100000" w:firstRow="0" w:lastRow="0" w:firstColumn="0" w:lastColumn="0" w:oddVBand="0" w:evenVBand="0" w:oddHBand="1" w:evenHBand="0" w:firstRowFirstColumn="0" w:firstRowLastColumn="0" w:lastRowFirstColumn="0" w:lastRowLastColumn="0"/>
              <w:rPr>
                <w:rFonts w:cs="Calibri"/>
                <w:bCs/>
                <w:sz w:val="18"/>
                <w:szCs w:val="18"/>
              </w:rPr>
            </w:pPr>
            <w:r>
              <w:rPr>
                <w:sz w:val="18"/>
                <w:szCs w:val="18"/>
              </w:rPr>
              <w:t>L’annexe n° 2 à l’A.E. « </w:t>
            </w:r>
            <w:r>
              <w:rPr>
                <w:rFonts w:cs="Calibri"/>
                <w:bCs/>
                <w:sz w:val="18"/>
                <w:szCs w:val="18"/>
              </w:rPr>
              <w:t>Engagement délais »</w:t>
            </w:r>
          </w:p>
        </w:tc>
        <w:tc>
          <w:tcPr>
            <w:tcW w:w="3525" w:type="dxa"/>
          </w:tcPr>
          <w:p>
            <w:pPr>
              <w:jc w:val="center"/>
              <w:cnfStyle w:val="000000100000" w:firstRow="0" w:lastRow="0" w:firstColumn="0" w:lastColumn="0" w:oddVBand="0" w:evenVBand="0" w:oddHBand="1" w:evenHBand="0" w:firstRowFirstColumn="0" w:firstRowLastColumn="0" w:lastRowFirstColumn="0" w:lastRowLastColumn="0"/>
              <w:rPr>
                <w:rFonts w:cs="Calibri"/>
                <w:sz w:val="18"/>
                <w:szCs w:val="18"/>
              </w:rPr>
            </w:pPr>
            <w:r>
              <w:rPr>
                <w:rFonts w:cs="Calibri"/>
                <w:sz w:val="18"/>
                <w:szCs w:val="18"/>
              </w:rPr>
              <w:t>EngagementDelais_NomEntreprise</w:t>
            </w:r>
          </w:p>
        </w:tc>
        <w:tc>
          <w:tcPr>
            <w:tcW w:w="2280" w:type="dxa"/>
          </w:tcPr>
          <w:p>
            <w:pPr>
              <w:jc w:val="center"/>
              <w:cnfStyle w:val="000000100000" w:firstRow="0" w:lastRow="0" w:firstColumn="0" w:lastColumn="0" w:oddVBand="0" w:evenVBand="0" w:oddHBand="1" w:evenHBand="0" w:firstRowFirstColumn="0" w:firstRowLastColumn="0" w:lastRowFirstColumn="0" w:lastRowLastColumn="0"/>
              <w:rPr>
                <w:rFonts w:cs="Calibri"/>
                <w:sz w:val="18"/>
                <w:szCs w:val="18"/>
              </w:rPr>
            </w:pPr>
            <w:r>
              <w:rPr>
                <w:rFonts w:cs="Calibri"/>
                <w:sz w:val="18"/>
                <w:szCs w:val="18"/>
              </w:rPr>
              <w:t>1 seul fichier pour tous les lots concernés</w:t>
            </w:r>
          </w:p>
        </w:tc>
      </w:tr>
      <w:tr>
        <w:trPr>
          <w:trHeight w:val="238"/>
        </w:trPr>
        <w:tc>
          <w:tcPr>
            <w:cnfStyle w:val="001000000000" w:firstRow="0" w:lastRow="0" w:firstColumn="1" w:lastColumn="0" w:oddVBand="0" w:evenVBand="0" w:oddHBand="0" w:evenHBand="0" w:firstRowFirstColumn="0" w:firstRowLastColumn="0" w:lastRowFirstColumn="0" w:lastRowLastColumn="0"/>
            <w:tcW w:w="1354" w:type="dxa"/>
          </w:tcPr>
          <w:p>
            <w:pPr>
              <w:jc w:val="center"/>
              <w:rPr>
                <w:rFonts w:cs="Calibri"/>
                <w:b w:val="0"/>
                <w:bCs w:val="0"/>
                <w:sz w:val="18"/>
                <w:szCs w:val="18"/>
              </w:rPr>
            </w:pPr>
            <w:r>
              <w:rPr>
                <w:rFonts w:cs="Calibri"/>
                <w:b w:val="0"/>
                <w:bCs w:val="0"/>
                <w:sz w:val="18"/>
                <w:szCs w:val="18"/>
              </w:rPr>
              <w:t>Pièce n°10</w:t>
            </w:r>
          </w:p>
        </w:tc>
        <w:tc>
          <w:tcPr>
            <w:tcW w:w="2636" w:type="dxa"/>
          </w:tcPr>
          <w:p>
            <w:pPr>
              <w:jc w:val="center"/>
              <w:cnfStyle w:val="000000000000" w:firstRow="0" w:lastRow="0" w:firstColumn="0" w:lastColumn="0" w:oddVBand="0" w:evenVBand="0" w:oddHBand="0" w:evenHBand="0" w:firstRowFirstColumn="0" w:firstRowLastColumn="0" w:lastRowFirstColumn="0" w:lastRowLastColumn="0"/>
              <w:rPr>
                <w:rFonts w:cs="Calibri"/>
                <w:bCs/>
                <w:sz w:val="18"/>
                <w:szCs w:val="18"/>
              </w:rPr>
            </w:pPr>
            <w:r>
              <w:rPr>
                <w:rFonts w:cs="Calibri"/>
                <w:bCs/>
                <w:sz w:val="18"/>
                <w:szCs w:val="18"/>
              </w:rPr>
              <w:t>DPGF</w:t>
            </w:r>
          </w:p>
        </w:tc>
        <w:tc>
          <w:tcPr>
            <w:tcW w:w="3525" w:type="dxa"/>
          </w:tcPr>
          <w:p>
            <w:pPr>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DPGF_NomEntreprise</w:t>
            </w:r>
          </w:p>
        </w:tc>
        <w:tc>
          <w:tcPr>
            <w:tcW w:w="2280" w:type="dxa"/>
          </w:tcPr>
          <w:p>
            <w:pPr>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1 fichier par lot</w:t>
            </w:r>
          </w:p>
        </w:tc>
      </w:tr>
      <w:tr>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1354" w:type="dxa"/>
          </w:tcPr>
          <w:p>
            <w:pPr>
              <w:jc w:val="center"/>
              <w:rPr>
                <w:rFonts w:cs="Calibri"/>
                <w:b w:val="0"/>
                <w:bCs w:val="0"/>
                <w:sz w:val="18"/>
                <w:szCs w:val="18"/>
              </w:rPr>
            </w:pPr>
          </w:p>
        </w:tc>
        <w:tc>
          <w:tcPr>
            <w:tcW w:w="2636" w:type="dxa"/>
            <w:hideMark/>
          </w:tcPr>
          <w:p>
            <w:pPr>
              <w:jc w:val="center"/>
              <w:cnfStyle w:val="000000100000" w:firstRow="0" w:lastRow="0" w:firstColumn="0" w:lastColumn="0" w:oddVBand="0" w:evenVBand="0" w:oddHBand="1" w:evenHBand="0" w:firstRowFirstColumn="0" w:firstRowLastColumn="0" w:lastRowFirstColumn="0" w:lastRowLastColumn="0"/>
              <w:rPr>
                <w:rFonts w:cs="Calibri"/>
                <w:bCs/>
                <w:sz w:val="18"/>
                <w:szCs w:val="18"/>
              </w:rPr>
            </w:pPr>
            <w:r>
              <w:rPr>
                <w:rFonts w:cs="Calibri"/>
                <w:bCs/>
                <w:sz w:val="18"/>
                <w:szCs w:val="18"/>
              </w:rPr>
              <w:t>Bordereau des prix unitaires (BPU)</w:t>
            </w:r>
          </w:p>
        </w:tc>
        <w:tc>
          <w:tcPr>
            <w:tcW w:w="3525" w:type="dxa"/>
            <w:hideMark/>
          </w:tcPr>
          <w:p>
            <w:pPr>
              <w:jc w:val="center"/>
              <w:cnfStyle w:val="000000100000" w:firstRow="0" w:lastRow="0" w:firstColumn="0" w:lastColumn="0" w:oddVBand="0" w:evenVBand="0" w:oddHBand="1" w:evenHBand="0" w:firstRowFirstColumn="0" w:firstRowLastColumn="0" w:lastRowFirstColumn="0" w:lastRowLastColumn="0"/>
              <w:rPr>
                <w:rFonts w:cs="Calibri"/>
                <w:sz w:val="18"/>
                <w:szCs w:val="18"/>
              </w:rPr>
            </w:pPr>
            <w:r>
              <w:rPr>
                <w:rFonts w:cs="Calibri"/>
                <w:sz w:val="18"/>
                <w:szCs w:val="18"/>
              </w:rPr>
              <w:t>BPU_LotX_NomEntreprise</w:t>
            </w:r>
          </w:p>
        </w:tc>
        <w:tc>
          <w:tcPr>
            <w:tcW w:w="2280" w:type="dxa"/>
            <w:hideMark/>
          </w:tcPr>
          <w:p>
            <w:pPr>
              <w:jc w:val="center"/>
              <w:cnfStyle w:val="000000100000" w:firstRow="0" w:lastRow="0" w:firstColumn="0" w:lastColumn="0" w:oddVBand="0" w:evenVBand="0" w:oddHBand="1" w:evenHBand="0" w:firstRowFirstColumn="0" w:firstRowLastColumn="0" w:lastRowFirstColumn="0" w:lastRowLastColumn="0"/>
              <w:rPr>
                <w:rFonts w:cs="Calibri"/>
                <w:sz w:val="18"/>
                <w:szCs w:val="18"/>
              </w:rPr>
            </w:pPr>
            <w:r>
              <w:rPr>
                <w:rFonts w:cs="Calibri"/>
                <w:sz w:val="18"/>
                <w:szCs w:val="18"/>
              </w:rPr>
              <w:t>1 fichier par lot</w:t>
            </w:r>
          </w:p>
        </w:tc>
      </w:tr>
      <w:tr>
        <w:trPr>
          <w:trHeight w:val="238"/>
        </w:trPr>
        <w:tc>
          <w:tcPr>
            <w:cnfStyle w:val="001000000000" w:firstRow="0" w:lastRow="0" w:firstColumn="1" w:lastColumn="0" w:oddVBand="0" w:evenVBand="0" w:oddHBand="0" w:evenHBand="0" w:firstRowFirstColumn="0" w:firstRowLastColumn="0" w:lastRowFirstColumn="0" w:lastRowLastColumn="0"/>
            <w:tcW w:w="1354" w:type="dxa"/>
          </w:tcPr>
          <w:p>
            <w:pPr>
              <w:jc w:val="center"/>
              <w:rPr>
                <w:rFonts w:cs="Calibri"/>
                <w:b w:val="0"/>
                <w:bCs w:val="0"/>
                <w:sz w:val="18"/>
                <w:szCs w:val="18"/>
              </w:rPr>
            </w:pPr>
            <w:r>
              <w:rPr>
                <w:rFonts w:cs="Calibri"/>
                <w:b w:val="0"/>
                <w:bCs w:val="0"/>
                <w:sz w:val="18"/>
                <w:szCs w:val="18"/>
              </w:rPr>
              <w:t>Pièce n°12</w:t>
            </w:r>
          </w:p>
        </w:tc>
        <w:tc>
          <w:tcPr>
            <w:tcW w:w="2636" w:type="dxa"/>
          </w:tcPr>
          <w:p>
            <w:pPr>
              <w:jc w:val="center"/>
              <w:cnfStyle w:val="000000000000" w:firstRow="0" w:lastRow="0" w:firstColumn="0" w:lastColumn="0" w:oddVBand="0" w:evenVBand="0" w:oddHBand="0" w:evenHBand="0" w:firstRowFirstColumn="0" w:firstRowLastColumn="0" w:lastRowFirstColumn="0" w:lastRowLastColumn="0"/>
              <w:rPr>
                <w:rFonts w:cs="Calibri"/>
                <w:bCs/>
                <w:sz w:val="18"/>
                <w:szCs w:val="18"/>
              </w:rPr>
            </w:pPr>
            <w:r>
              <w:rPr>
                <w:rFonts w:cs="Calibri"/>
                <w:bCs/>
                <w:sz w:val="18"/>
                <w:szCs w:val="18"/>
              </w:rPr>
              <w:t>Mémoire technique / Note méthodologique</w:t>
            </w:r>
          </w:p>
        </w:tc>
        <w:tc>
          <w:tcPr>
            <w:tcW w:w="3525" w:type="dxa"/>
          </w:tcPr>
          <w:p>
            <w:pPr>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MemoireTech_LotX_NomEntreprise</w:t>
            </w:r>
          </w:p>
        </w:tc>
        <w:tc>
          <w:tcPr>
            <w:tcW w:w="2280" w:type="dxa"/>
          </w:tcPr>
          <w:p>
            <w:pPr>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Facultatif si distinct des CRT</w:t>
            </w:r>
          </w:p>
        </w:tc>
      </w:tr>
      <w:tr>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1354" w:type="dxa"/>
          </w:tcPr>
          <w:p>
            <w:pPr>
              <w:jc w:val="center"/>
              <w:rPr>
                <w:rFonts w:cs="Calibri"/>
                <w:b w:val="0"/>
                <w:bCs w:val="0"/>
                <w:sz w:val="18"/>
                <w:szCs w:val="18"/>
              </w:rPr>
            </w:pPr>
            <w:r>
              <w:rPr>
                <w:rFonts w:cs="Calibri"/>
                <w:b w:val="0"/>
                <w:bCs w:val="0"/>
                <w:sz w:val="18"/>
                <w:szCs w:val="18"/>
              </w:rPr>
              <w:t>Pièce n°13</w:t>
            </w:r>
          </w:p>
        </w:tc>
        <w:tc>
          <w:tcPr>
            <w:tcW w:w="2636" w:type="dxa"/>
          </w:tcPr>
          <w:p>
            <w:pPr>
              <w:jc w:val="center"/>
              <w:cnfStyle w:val="000000100000" w:firstRow="0" w:lastRow="0" w:firstColumn="0" w:lastColumn="0" w:oddVBand="0" w:evenVBand="0" w:oddHBand="1" w:evenHBand="0" w:firstRowFirstColumn="0" w:firstRowLastColumn="0" w:lastRowFirstColumn="0" w:lastRowLastColumn="0"/>
              <w:rPr>
                <w:rFonts w:cs="Calibri"/>
                <w:bCs/>
                <w:sz w:val="18"/>
                <w:szCs w:val="18"/>
              </w:rPr>
            </w:pPr>
            <w:r>
              <w:rPr>
                <w:rFonts w:cs="Calibri"/>
                <w:bCs/>
                <w:sz w:val="18"/>
                <w:szCs w:val="18"/>
              </w:rPr>
              <w:t>Fiche de Renseignements Fournisseurs</w:t>
            </w:r>
          </w:p>
        </w:tc>
        <w:tc>
          <w:tcPr>
            <w:tcW w:w="3525" w:type="dxa"/>
          </w:tcPr>
          <w:p>
            <w:pPr>
              <w:jc w:val="center"/>
              <w:cnfStyle w:val="000000100000" w:firstRow="0" w:lastRow="0" w:firstColumn="0" w:lastColumn="0" w:oddVBand="0" w:evenVBand="0" w:oddHBand="1" w:evenHBand="0" w:firstRowFirstColumn="0" w:firstRowLastColumn="0" w:lastRowFirstColumn="0" w:lastRowLastColumn="0"/>
              <w:rPr>
                <w:rFonts w:cs="Calibri"/>
                <w:sz w:val="18"/>
                <w:szCs w:val="18"/>
              </w:rPr>
            </w:pPr>
            <w:r>
              <w:rPr>
                <w:rFonts w:cs="Calibri"/>
                <w:sz w:val="18"/>
                <w:szCs w:val="18"/>
              </w:rPr>
              <w:t>FicheFournisseurs_NomEntreprise</w:t>
            </w:r>
          </w:p>
        </w:tc>
        <w:tc>
          <w:tcPr>
            <w:tcW w:w="2280" w:type="dxa"/>
          </w:tcPr>
          <w:p>
            <w:pPr>
              <w:jc w:val="center"/>
              <w:cnfStyle w:val="000000100000" w:firstRow="0" w:lastRow="0" w:firstColumn="0" w:lastColumn="0" w:oddVBand="0" w:evenVBand="0" w:oddHBand="1" w:evenHBand="0" w:firstRowFirstColumn="0" w:firstRowLastColumn="0" w:lastRowFirstColumn="0" w:lastRowLastColumn="0"/>
              <w:rPr>
                <w:rFonts w:cs="Calibri"/>
                <w:sz w:val="18"/>
                <w:szCs w:val="18"/>
              </w:rPr>
            </w:pPr>
            <w:r>
              <w:rPr>
                <w:rFonts w:cs="Calibri"/>
                <w:sz w:val="18"/>
                <w:szCs w:val="18"/>
              </w:rPr>
              <w:t>1 seul fichier pour tous les lots concernés</w:t>
            </w:r>
          </w:p>
        </w:tc>
      </w:tr>
      <w:tr>
        <w:trPr>
          <w:trHeight w:val="238"/>
        </w:trPr>
        <w:tc>
          <w:tcPr>
            <w:cnfStyle w:val="001000000000" w:firstRow="0" w:lastRow="0" w:firstColumn="1" w:lastColumn="0" w:oddVBand="0" w:evenVBand="0" w:oddHBand="0" w:evenHBand="0" w:firstRowFirstColumn="0" w:firstRowLastColumn="0" w:lastRowFirstColumn="0" w:lastRowLastColumn="0"/>
            <w:tcW w:w="1354" w:type="dxa"/>
          </w:tcPr>
          <w:p>
            <w:pPr>
              <w:jc w:val="center"/>
              <w:rPr>
                <w:rFonts w:cs="Calibri"/>
                <w:b w:val="0"/>
                <w:bCs w:val="0"/>
                <w:sz w:val="18"/>
                <w:szCs w:val="18"/>
              </w:rPr>
            </w:pPr>
            <w:r>
              <w:rPr>
                <w:rFonts w:cs="Calibri"/>
                <w:b w:val="0"/>
                <w:bCs w:val="0"/>
                <w:sz w:val="18"/>
                <w:szCs w:val="18"/>
              </w:rPr>
              <w:t>Pièce n°14</w:t>
            </w:r>
          </w:p>
        </w:tc>
        <w:tc>
          <w:tcPr>
            <w:tcW w:w="2636" w:type="dxa"/>
          </w:tcPr>
          <w:p>
            <w:pPr>
              <w:jc w:val="center"/>
              <w:cnfStyle w:val="000000000000" w:firstRow="0" w:lastRow="0" w:firstColumn="0" w:lastColumn="0" w:oddVBand="0" w:evenVBand="0" w:oddHBand="0" w:evenHBand="0" w:firstRowFirstColumn="0" w:firstRowLastColumn="0" w:lastRowFirstColumn="0" w:lastRowLastColumn="0"/>
              <w:rPr>
                <w:rFonts w:cs="Calibri"/>
                <w:bCs/>
                <w:sz w:val="18"/>
                <w:szCs w:val="18"/>
              </w:rPr>
            </w:pPr>
            <w:r>
              <w:rPr>
                <w:rFonts w:cs="Calibri"/>
                <w:bCs/>
                <w:sz w:val="18"/>
                <w:szCs w:val="18"/>
              </w:rPr>
              <w:t>Attestation(s) de visite</w:t>
            </w:r>
          </w:p>
        </w:tc>
        <w:tc>
          <w:tcPr>
            <w:tcW w:w="3525" w:type="dxa"/>
          </w:tcPr>
          <w:p>
            <w:pPr>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AttestationVisite_CHSD / AttestationVisite_CHG</w:t>
            </w:r>
          </w:p>
        </w:tc>
        <w:tc>
          <w:tcPr>
            <w:tcW w:w="2280" w:type="dxa"/>
          </w:tcPr>
          <w:p>
            <w:pPr>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2 fichiers séparés obligatoires</w:t>
            </w:r>
          </w:p>
        </w:tc>
      </w:tr>
      <w:tr>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1354" w:type="dxa"/>
          </w:tcPr>
          <w:p>
            <w:pPr>
              <w:jc w:val="center"/>
              <w:rPr>
                <w:rFonts w:cs="Calibri"/>
                <w:b w:val="0"/>
                <w:bCs w:val="0"/>
                <w:sz w:val="18"/>
                <w:szCs w:val="18"/>
              </w:rPr>
            </w:pPr>
            <w:r>
              <w:rPr>
                <w:rFonts w:cs="Calibri"/>
                <w:b w:val="0"/>
                <w:bCs w:val="0"/>
                <w:sz w:val="18"/>
                <w:szCs w:val="18"/>
              </w:rPr>
              <w:t>Pièces n°15</w:t>
            </w:r>
          </w:p>
        </w:tc>
        <w:tc>
          <w:tcPr>
            <w:tcW w:w="2636" w:type="dxa"/>
          </w:tcPr>
          <w:p>
            <w:pPr>
              <w:jc w:val="center"/>
              <w:cnfStyle w:val="000000100000" w:firstRow="0" w:lastRow="0" w:firstColumn="0" w:lastColumn="0" w:oddVBand="0" w:evenVBand="0" w:oddHBand="1" w:evenHBand="0" w:firstRowFirstColumn="0" w:firstRowLastColumn="0" w:lastRowFirstColumn="0" w:lastRowLastColumn="0"/>
              <w:rPr>
                <w:rFonts w:cs="Calibri"/>
                <w:bCs/>
                <w:sz w:val="18"/>
                <w:szCs w:val="18"/>
              </w:rPr>
            </w:pPr>
            <w:r>
              <w:rPr>
                <w:rFonts w:cs="Calibri"/>
                <w:bCs/>
                <w:sz w:val="18"/>
                <w:szCs w:val="18"/>
              </w:rPr>
              <w:t>RIB</w:t>
            </w:r>
          </w:p>
        </w:tc>
        <w:tc>
          <w:tcPr>
            <w:tcW w:w="3525" w:type="dxa"/>
          </w:tcPr>
          <w:p>
            <w:pPr>
              <w:jc w:val="center"/>
              <w:cnfStyle w:val="000000100000" w:firstRow="0" w:lastRow="0" w:firstColumn="0" w:lastColumn="0" w:oddVBand="0" w:evenVBand="0" w:oddHBand="1" w:evenHBand="0" w:firstRowFirstColumn="0" w:firstRowLastColumn="0" w:lastRowFirstColumn="0" w:lastRowLastColumn="0"/>
              <w:rPr>
                <w:rFonts w:cs="Calibri"/>
                <w:sz w:val="18"/>
                <w:szCs w:val="18"/>
              </w:rPr>
            </w:pPr>
            <w:r>
              <w:rPr>
                <w:rFonts w:cs="Calibri"/>
                <w:sz w:val="18"/>
                <w:szCs w:val="18"/>
              </w:rPr>
              <w:t>RIB_NomEntreprise</w:t>
            </w:r>
          </w:p>
        </w:tc>
        <w:tc>
          <w:tcPr>
            <w:tcW w:w="2280" w:type="dxa"/>
          </w:tcPr>
          <w:p>
            <w:pPr>
              <w:jc w:val="center"/>
              <w:cnfStyle w:val="000000100000" w:firstRow="0" w:lastRow="0" w:firstColumn="0" w:lastColumn="0" w:oddVBand="0" w:evenVBand="0" w:oddHBand="1" w:evenHBand="0" w:firstRowFirstColumn="0" w:firstRowLastColumn="0" w:lastRowFirstColumn="0" w:lastRowLastColumn="0"/>
              <w:rPr>
                <w:rFonts w:cs="Calibri"/>
                <w:sz w:val="18"/>
                <w:szCs w:val="18"/>
              </w:rPr>
            </w:pPr>
            <w:r>
              <w:rPr>
                <w:rFonts w:cs="Calibri"/>
                <w:sz w:val="18"/>
                <w:szCs w:val="18"/>
              </w:rPr>
              <w:t>Doit correspondre à celui de l’AE</w:t>
            </w:r>
          </w:p>
        </w:tc>
      </w:tr>
      <w:tr>
        <w:trPr>
          <w:trHeight w:val="238"/>
        </w:trPr>
        <w:tc>
          <w:tcPr>
            <w:cnfStyle w:val="001000000000" w:firstRow="0" w:lastRow="0" w:firstColumn="1" w:lastColumn="0" w:oddVBand="0" w:evenVBand="0" w:oddHBand="0" w:evenHBand="0" w:firstRowFirstColumn="0" w:firstRowLastColumn="0" w:lastRowFirstColumn="0" w:lastRowLastColumn="0"/>
            <w:tcW w:w="1354" w:type="dxa"/>
          </w:tcPr>
          <w:p>
            <w:pPr>
              <w:jc w:val="center"/>
              <w:rPr>
                <w:rFonts w:cs="Calibri"/>
                <w:b w:val="0"/>
                <w:bCs w:val="0"/>
                <w:sz w:val="18"/>
                <w:szCs w:val="18"/>
              </w:rPr>
            </w:pPr>
            <w:r>
              <w:rPr>
                <w:rFonts w:cs="Calibri"/>
                <w:b w:val="0"/>
                <w:bCs w:val="0"/>
                <w:sz w:val="18"/>
                <w:szCs w:val="18"/>
              </w:rPr>
              <w:t>Pièces n°16</w:t>
            </w:r>
          </w:p>
        </w:tc>
        <w:tc>
          <w:tcPr>
            <w:tcW w:w="2636" w:type="dxa"/>
          </w:tcPr>
          <w:p>
            <w:pPr>
              <w:jc w:val="center"/>
              <w:cnfStyle w:val="000000000000" w:firstRow="0" w:lastRow="0" w:firstColumn="0" w:lastColumn="0" w:oddVBand="0" w:evenVBand="0" w:oddHBand="0" w:evenHBand="0" w:firstRowFirstColumn="0" w:firstRowLastColumn="0" w:lastRowFirstColumn="0" w:lastRowLastColumn="0"/>
              <w:rPr>
                <w:rFonts w:cs="Calibri"/>
                <w:bCs/>
                <w:sz w:val="18"/>
                <w:szCs w:val="18"/>
              </w:rPr>
            </w:pPr>
            <w:r>
              <w:rPr>
                <w:rFonts w:cs="Calibri"/>
                <w:bCs/>
                <w:sz w:val="18"/>
                <w:szCs w:val="18"/>
              </w:rPr>
              <w:t>Cadres de réponse technique</w:t>
            </w:r>
          </w:p>
        </w:tc>
        <w:tc>
          <w:tcPr>
            <w:tcW w:w="3525" w:type="dxa"/>
          </w:tcPr>
          <w:p>
            <w:pPr>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CRT_LotX_NomEntreprise</w:t>
            </w:r>
          </w:p>
        </w:tc>
        <w:tc>
          <w:tcPr>
            <w:tcW w:w="2280" w:type="dxa"/>
          </w:tcPr>
          <w:p>
            <w:pPr>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1 par lot</w:t>
            </w:r>
          </w:p>
        </w:tc>
      </w:tr>
      <w:tr>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1354" w:type="dxa"/>
          </w:tcPr>
          <w:p>
            <w:pPr>
              <w:jc w:val="center"/>
              <w:rPr>
                <w:rFonts w:cs="Calibri"/>
                <w:b w:val="0"/>
                <w:bCs w:val="0"/>
                <w:sz w:val="18"/>
                <w:szCs w:val="18"/>
              </w:rPr>
            </w:pPr>
            <w:r>
              <w:rPr>
                <w:rFonts w:cs="Calibri"/>
                <w:b w:val="0"/>
                <w:bCs w:val="0"/>
                <w:sz w:val="18"/>
                <w:szCs w:val="18"/>
              </w:rPr>
              <w:t>Pièces n°17</w:t>
            </w:r>
          </w:p>
        </w:tc>
        <w:tc>
          <w:tcPr>
            <w:tcW w:w="2636" w:type="dxa"/>
          </w:tcPr>
          <w:p>
            <w:pPr>
              <w:jc w:val="center"/>
              <w:cnfStyle w:val="000000100000" w:firstRow="0" w:lastRow="0" w:firstColumn="0" w:lastColumn="0" w:oddVBand="0" w:evenVBand="0" w:oddHBand="1" w:evenHBand="0" w:firstRowFirstColumn="0" w:firstRowLastColumn="0" w:lastRowFirstColumn="0" w:lastRowLastColumn="0"/>
              <w:rPr>
                <w:rFonts w:cs="Calibri"/>
                <w:bCs/>
                <w:sz w:val="18"/>
                <w:szCs w:val="18"/>
              </w:rPr>
            </w:pPr>
            <w:r>
              <w:rPr>
                <w:rFonts w:cs="Calibri"/>
                <w:bCs/>
                <w:sz w:val="18"/>
                <w:szCs w:val="18"/>
              </w:rPr>
              <w:t>Conditions générales et particulières du contrat</w:t>
            </w:r>
          </w:p>
        </w:tc>
        <w:tc>
          <w:tcPr>
            <w:tcW w:w="3525" w:type="dxa"/>
          </w:tcPr>
          <w:p>
            <w:pPr>
              <w:jc w:val="center"/>
              <w:cnfStyle w:val="000000100000" w:firstRow="0" w:lastRow="0" w:firstColumn="0" w:lastColumn="0" w:oddVBand="0" w:evenVBand="0" w:oddHBand="1" w:evenHBand="0" w:firstRowFirstColumn="0" w:firstRowLastColumn="0" w:lastRowFirstColumn="0" w:lastRowLastColumn="0"/>
              <w:rPr>
                <w:rFonts w:cs="Calibri"/>
                <w:sz w:val="18"/>
                <w:szCs w:val="18"/>
              </w:rPr>
            </w:pPr>
            <w:r>
              <w:rPr>
                <w:rFonts w:cs="Calibri"/>
                <w:sz w:val="18"/>
                <w:szCs w:val="18"/>
              </w:rPr>
              <w:t>CG_CP_LotX_NomAssureur</w:t>
            </w:r>
          </w:p>
        </w:tc>
        <w:tc>
          <w:tcPr>
            <w:tcW w:w="2280" w:type="dxa"/>
          </w:tcPr>
          <w:p>
            <w:pPr>
              <w:jc w:val="center"/>
              <w:cnfStyle w:val="000000100000" w:firstRow="0" w:lastRow="0" w:firstColumn="0" w:lastColumn="0" w:oddVBand="0" w:evenVBand="0" w:oddHBand="1" w:evenHBand="0" w:firstRowFirstColumn="0" w:firstRowLastColumn="0" w:lastRowFirstColumn="0" w:lastRowLastColumn="0"/>
              <w:rPr>
                <w:rFonts w:cs="Calibri"/>
                <w:sz w:val="18"/>
                <w:szCs w:val="18"/>
              </w:rPr>
            </w:pPr>
            <w:r>
              <w:rPr>
                <w:rFonts w:cs="Calibri"/>
                <w:sz w:val="18"/>
                <w:szCs w:val="18"/>
              </w:rPr>
              <w:t>Fournies par l’assureur</w:t>
            </w:r>
          </w:p>
        </w:tc>
      </w:tr>
    </w:tbl>
    <w:p/>
    <w:bookmarkEnd w:id="46"/>
    <w:bookmarkEnd w:id="47"/>
    <w:p>
      <w:pPr>
        <w:rPr>
          <w:rFonts w:ascii="Arial" w:hAnsi="Arial" w:cs="Arial"/>
          <w:szCs w:val="22"/>
        </w:rPr>
      </w:pPr>
    </w:p>
    <w:p>
      <w:r>
        <w:t>L’attention du candidat est attirée sur le fait qu’il doit joindre tout document permettant de juger son offre suivant les critères de jugement des offres ci-dessous.</w:t>
      </w:r>
    </w:p>
    <w:p/>
    <w:p/>
    <w:p/>
    <w:p/>
    <w:p/>
    <w:p>
      <w:pPr>
        <w:pStyle w:val="Paragraphedeliste"/>
        <w:ind w:left="0" w:firstLine="426"/>
        <w:rPr>
          <w:rFonts w:ascii="Calibri Light" w:hAnsi="Calibri Light" w:cs="Calibri Light"/>
          <w:sz w:val="20"/>
        </w:rPr>
      </w:pPr>
    </w:p>
    <w:p>
      <w:pPr>
        <w:pBdr>
          <w:top w:val="single" w:sz="4" w:space="1" w:color="auto"/>
          <w:left w:val="single" w:sz="4" w:space="4" w:color="auto"/>
          <w:bottom w:val="single" w:sz="4" w:space="1" w:color="auto"/>
          <w:right w:val="single" w:sz="4" w:space="4" w:color="auto"/>
        </w:pBdr>
        <w:adjustRightInd w:val="0"/>
        <w:ind w:firstLine="426"/>
        <w:jc w:val="center"/>
        <w:rPr>
          <w:rFonts w:ascii="Calibri Light" w:hAnsi="Calibri Light" w:cs="Calibri Light"/>
          <w:b/>
          <w:sz w:val="20"/>
        </w:rPr>
      </w:pPr>
      <w:r>
        <w:rPr>
          <w:rFonts w:ascii="Calibri Light" w:hAnsi="Calibri Light" w:cs="Calibri Light"/>
          <w:b/>
          <w:sz w:val="20"/>
        </w:rPr>
        <w:lastRenderedPageBreak/>
        <w:t>REMARQUES IMPORTANTES </w:t>
      </w:r>
    </w:p>
    <w:p>
      <w:pPr>
        <w:pBdr>
          <w:top w:val="single" w:sz="4" w:space="1" w:color="auto"/>
          <w:left w:val="single" w:sz="4" w:space="4" w:color="auto"/>
          <w:bottom w:val="single" w:sz="4" w:space="1" w:color="auto"/>
          <w:right w:val="single" w:sz="4" w:space="4" w:color="auto"/>
        </w:pBdr>
        <w:adjustRightInd w:val="0"/>
        <w:ind w:firstLine="426"/>
        <w:jc w:val="center"/>
        <w:rPr>
          <w:rFonts w:ascii="Calibri Light" w:hAnsi="Calibri Light" w:cs="Calibri Light"/>
          <w:b/>
          <w:sz w:val="20"/>
        </w:rPr>
      </w:pPr>
    </w:p>
    <w:p>
      <w:pPr>
        <w:pBdr>
          <w:top w:val="single" w:sz="4" w:space="1" w:color="auto"/>
          <w:left w:val="single" w:sz="4" w:space="4" w:color="auto"/>
          <w:bottom w:val="single" w:sz="4" w:space="1" w:color="auto"/>
          <w:right w:val="single" w:sz="4" w:space="4" w:color="auto"/>
        </w:pBdr>
        <w:adjustRightInd w:val="0"/>
        <w:ind w:firstLine="426"/>
        <w:jc w:val="center"/>
        <w:rPr>
          <w:rFonts w:asciiTheme="minorHAnsi" w:hAnsiTheme="minorHAnsi" w:cstheme="minorHAnsi"/>
        </w:rPr>
      </w:pPr>
      <w:r>
        <w:rPr>
          <w:rFonts w:asciiTheme="minorHAnsi" w:hAnsiTheme="minorHAnsi" w:cstheme="minorHAnsi"/>
        </w:rPr>
        <w:t xml:space="preserve">Chaque candidat devra impérativement remettre lors du dépôt de son pli dématérialisé la DPGF </w:t>
      </w:r>
      <w:r>
        <w:rPr>
          <w:rFonts w:asciiTheme="minorHAnsi" w:hAnsiTheme="minorHAnsi" w:cstheme="minorHAnsi"/>
          <w:b/>
        </w:rPr>
        <w:t>renseigné en format Excel</w:t>
      </w:r>
      <w:r>
        <w:rPr>
          <w:rFonts w:asciiTheme="minorHAnsi" w:hAnsiTheme="minorHAnsi" w:cstheme="minorHAnsi"/>
        </w:rPr>
        <w:t>.</w:t>
      </w:r>
    </w:p>
    <w:p>
      <w:pPr>
        <w:pBdr>
          <w:top w:val="single" w:sz="4" w:space="1" w:color="auto"/>
          <w:left w:val="single" w:sz="4" w:space="4" w:color="auto"/>
          <w:bottom w:val="single" w:sz="4" w:space="1" w:color="auto"/>
          <w:right w:val="single" w:sz="4" w:space="4" w:color="auto"/>
        </w:pBdr>
        <w:adjustRightInd w:val="0"/>
        <w:ind w:firstLine="426"/>
        <w:jc w:val="center"/>
        <w:rPr>
          <w:rFonts w:asciiTheme="minorHAnsi" w:hAnsiTheme="minorHAnsi" w:cstheme="minorHAnsi"/>
          <w:b/>
        </w:rPr>
      </w:pPr>
      <w:r>
        <w:rPr>
          <w:rFonts w:asciiTheme="minorHAnsi" w:hAnsiTheme="minorHAnsi" w:cstheme="minorHAnsi"/>
        </w:rPr>
        <w:t xml:space="preserve">Le cahier des clauses administratives particulières (CCAP) et le cahier des clauses techniques particulières (CCTP) ne doivent pas être remis signés : </w:t>
      </w:r>
      <w:r>
        <w:rPr>
          <w:rFonts w:asciiTheme="minorHAnsi" w:hAnsiTheme="minorHAnsi" w:cstheme="minorHAnsi"/>
          <w:b/>
        </w:rPr>
        <w:t>le candidat accepte sans réserve les clauses de ces documents dans l’acte d’engagement.</w:t>
      </w:r>
    </w:p>
    <w:p>
      <w:pPr>
        <w:pBdr>
          <w:top w:val="single" w:sz="4" w:space="1" w:color="auto"/>
          <w:left w:val="single" w:sz="4" w:space="4" w:color="auto"/>
          <w:bottom w:val="single" w:sz="4" w:space="1" w:color="auto"/>
          <w:right w:val="single" w:sz="4" w:space="4" w:color="auto"/>
        </w:pBdr>
        <w:adjustRightInd w:val="0"/>
        <w:jc w:val="center"/>
        <w:rPr>
          <w:rFonts w:ascii="Arial" w:hAnsi="Arial" w:cs="Arial"/>
          <w:szCs w:val="22"/>
        </w:rPr>
      </w:pPr>
    </w:p>
    <w:p>
      <w:pPr>
        <w:pStyle w:val="RedPara"/>
        <w:spacing w:before="0" w:after="0"/>
        <w:rPr>
          <w:rFonts w:ascii="Calibri Light" w:hAnsi="Calibri Light" w:cs="Calibri Light"/>
          <w:b w:val="0"/>
          <w:bCs w:val="0"/>
          <w:noProof/>
          <w:sz w:val="20"/>
          <w:szCs w:val="20"/>
        </w:rPr>
      </w:pPr>
    </w:p>
    <w:p>
      <w:pPr>
        <w:pStyle w:val="Titre1"/>
      </w:pPr>
      <w:bookmarkStart w:id="48" w:name="_Toc113976729"/>
      <w:bookmarkStart w:id="49" w:name="_Toc205212181"/>
      <w:r>
        <w:t xml:space="preserve">CONDITIONS D’ENVOI DES </w:t>
      </w:r>
      <w:bookmarkEnd w:id="48"/>
      <w:r>
        <w:t>OFFRES</w:t>
      </w:r>
      <w:bookmarkEnd w:id="49"/>
    </w:p>
    <w:p>
      <w:pPr>
        <w:rPr>
          <w:rFonts w:asciiTheme="minorHAnsi" w:hAnsiTheme="minorHAnsi" w:cstheme="minorHAnsi"/>
          <w:color w:val="0000FF"/>
          <w:szCs w:val="22"/>
        </w:rPr>
      </w:pPr>
      <w:r>
        <w:rPr>
          <w:rFonts w:asciiTheme="minorHAnsi" w:hAnsiTheme="minorHAnsi" w:cstheme="minorHAnsi"/>
          <w:szCs w:val="22"/>
        </w:rPr>
        <w:t xml:space="preserve">En application de l’article R. 2132-7 du code de la commande publique, </w:t>
      </w:r>
      <w:r>
        <w:rPr>
          <w:rFonts w:asciiTheme="minorHAnsi" w:hAnsiTheme="minorHAnsi" w:cstheme="minorHAnsi"/>
          <w:b/>
          <w:szCs w:val="22"/>
        </w:rPr>
        <w:t>la remise des offres s’effectue uniquement par voie dématérialisée</w:t>
      </w:r>
      <w:r>
        <w:rPr>
          <w:rFonts w:asciiTheme="minorHAnsi" w:hAnsiTheme="minorHAnsi" w:cstheme="minorHAnsi"/>
          <w:szCs w:val="22"/>
        </w:rPr>
        <w:t xml:space="preserve">, sur le profil d’acheteur, plateforme de dématérialisation de l’état : PLACE : </w:t>
      </w:r>
      <w:r>
        <w:rPr>
          <w:rStyle w:val="Lienhypertexte"/>
          <w:rFonts w:asciiTheme="minorHAnsi" w:hAnsiTheme="minorHAnsi" w:cstheme="minorHAnsi"/>
          <w:color w:val="auto"/>
          <w:szCs w:val="22"/>
          <w:u w:val="none"/>
        </w:rPr>
        <w:t>Plate-forme des achats de l’Etat</w:t>
      </w:r>
    </w:p>
    <w:p>
      <w:pPr>
        <w:pStyle w:val="RedTxt"/>
        <w:jc w:val="center"/>
        <w:rPr>
          <w:rFonts w:ascii="Calibri Light" w:hAnsi="Calibri Light" w:cs="Calibri Light"/>
          <w:b/>
          <w:sz w:val="22"/>
          <w:szCs w:val="22"/>
        </w:rPr>
      </w:pPr>
      <w:hyperlink r:id="rId22" w:history="1">
        <w:r>
          <w:rPr>
            <w:rStyle w:val="Lienhypertexte"/>
            <w:rFonts w:ascii="Calibri Light" w:hAnsi="Calibri Light" w:cs="Calibri Light"/>
            <w:sz w:val="22"/>
            <w:szCs w:val="22"/>
          </w:rPr>
          <w:t>https://www.marches-publics.gouv.fr</w:t>
        </w:r>
      </w:hyperlink>
    </w:p>
    <w:p>
      <w:pPr>
        <w:pStyle w:val="RedTxt"/>
        <w:rPr>
          <w:rStyle w:val="Lienhypertexte"/>
          <w:rFonts w:ascii="Calibri Light" w:hAnsi="Calibri Light" w:cs="Calibri Light"/>
          <w:b/>
          <w:sz w:val="20"/>
          <w:szCs w:val="20"/>
        </w:rPr>
      </w:pPr>
    </w:p>
    <w:p>
      <w:pPr>
        <w:pStyle w:val="RedTxt"/>
        <w:jc w:val="center"/>
        <w:rPr>
          <w:rFonts w:asciiTheme="minorHAnsi" w:hAnsiTheme="minorHAnsi" w:cstheme="minorHAnsi"/>
          <w:b/>
          <w:noProof/>
          <w:sz w:val="22"/>
          <w:szCs w:val="22"/>
          <w:u w:val="single"/>
        </w:rPr>
      </w:pPr>
      <w:r>
        <w:rPr>
          <w:rFonts w:asciiTheme="minorHAnsi" w:hAnsiTheme="minorHAnsi" w:cstheme="minorHAnsi"/>
          <w:b/>
          <w:noProof/>
          <w:sz w:val="22"/>
          <w:szCs w:val="22"/>
          <w:u w:val="single"/>
        </w:rPr>
        <w:t xml:space="preserve">Au plus tard le Vendredi </w:t>
      </w:r>
      <w:r>
        <w:rPr>
          <w:b/>
          <w:u w:val="single"/>
        </w:rPr>
        <w:t>26 Septembre 2025 à 12h00</w:t>
      </w:r>
    </w:p>
    <w:p>
      <w:pPr>
        <w:pStyle w:val="RedTxt"/>
        <w:jc w:val="center"/>
        <w:rPr>
          <w:rFonts w:ascii="Calibri Light" w:hAnsi="Calibri Light" w:cs="Calibri Light"/>
          <w:b/>
          <w:noProof/>
          <w:sz w:val="20"/>
          <w:szCs w:val="20"/>
          <w:u w:val="single"/>
        </w:rPr>
      </w:pPr>
    </w:p>
    <w:p>
      <w:r>
        <w:t xml:space="preserve">Les formats acceptés sont les suivants : </w:t>
      </w:r>
    </w:p>
    <w:p>
      <w:r>
        <w:t>Pdf, .doc, .xls, .ppt, .odt, .ods, .odp, ainsi que les formats d'image jpg, png et de documents html.</w:t>
      </w:r>
    </w:p>
    <w:p/>
    <w:p>
      <w:r>
        <w:t>Le candidat ne doit pas utiliser de code actif dans sa réponse, tels que :</w:t>
      </w:r>
    </w:p>
    <w:p>
      <w:r>
        <w:t>- Formats exécutables, .exe, .com, .scr, etc. ;</w:t>
      </w:r>
    </w:p>
    <w:p>
      <w:r>
        <w:t>- Macros ;</w:t>
      </w:r>
    </w:p>
    <w:p>
      <w:r>
        <w:t>- ActiveX, Applets, scripts, etc.</w:t>
      </w:r>
    </w:p>
    <w:p>
      <w:pPr>
        <w:rPr>
          <w:rFonts w:ascii="Calibri Light" w:hAnsi="Calibri Light" w:cs="Calibri Light"/>
          <w:sz w:val="20"/>
        </w:rPr>
      </w:pPr>
    </w:p>
    <w:p>
      <w:r>
        <w:t>Les candidats trouveront sur la plateforme les conditions d'utilisations de la plateforme, notamment les prérequis techniques et certificats électroniques nécessaires au dépôt d'une offre dématérialisée.</w:t>
      </w:r>
    </w:p>
    <w:p/>
    <w:p>
      <w:r>
        <w:t>Les frais d'accès au réseau et de recours à la signature électronique sont à la charge de chaque candidat. Les documents à signer doivent respecter les exigences précisées ci-dessous « signature des plis ».</w:t>
      </w:r>
    </w:p>
    <w:p/>
    <w:p>
      <w:r>
        <w:t>Les candidats sont invités à tester la configuration de leur poste de travail et répondre à une consultation test, afin de s'assurer du bon fonctionnement de l'environnement informatique.</w:t>
      </w:r>
    </w:p>
    <w:p>
      <w:r>
        <w:t>Ils disposent sur la plateforme d'une aide qui expose le mode opératoire relatif au dépôt des plis électroniques.</w:t>
      </w:r>
    </w:p>
    <w:p/>
    <w:p>
      <w:r>
        <w:t>Plusieurs documents et informations sont disponibles à la rubrique « aide » de la plateforme :</w:t>
      </w:r>
    </w:p>
    <w:p>
      <w:r>
        <w:t>Après le dépôt du pli sur la plate-forme, un message indique au candidat que l'opération de dépôt du pli a été réalisée avec succès, puis un accusé de réception lui est adressé par courrier électronique (sur la boîte mail de l’utilisateur inscrit) donnant à son dépôt une date et une heure certaines, la date et l'heure de fin de réception faisant référence.</w:t>
      </w:r>
    </w:p>
    <w:p/>
    <w:p>
      <w:r>
        <w:t>L'absence de message de confirmation de bonne réception ou d'accusé de réception électronique signifie que la réponse n'est pas parvenue au Centre Hospitalier.</w:t>
      </w:r>
      <w:bookmarkStart w:id="50" w:name="_Toc87023178"/>
      <w:bookmarkStart w:id="51" w:name="_Toc95980369"/>
      <w:bookmarkStart w:id="52" w:name="_Toc95986951"/>
      <w:bookmarkStart w:id="53" w:name="_Toc95987088"/>
    </w:p>
    <w:p/>
    <w:p/>
    <w:p/>
    <w:p/>
    <w:p>
      <w:pPr>
        <w:pStyle w:val="Titre2"/>
      </w:pPr>
      <w:r>
        <w:lastRenderedPageBreak/>
        <w:t>COPIE DE SAUVEGARDE</w:t>
      </w:r>
      <w:bookmarkEnd w:id="50"/>
      <w:bookmarkEnd w:id="51"/>
      <w:bookmarkEnd w:id="52"/>
      <w:bookmarkEnd w:id="53"/>
    </w:p>
    <w:p>
      <w:r>
        <w:t>Conformément aux dispositions de l’article R.2132-11 du code de la commande publique et parallèlement à l’envoi électronique de leur dossier, les candidats peuvent faire parvenir une copie de sauvegarde, dans les conditions fixées par l’arrêté du 22 mars 2019 fixant les modalités de mise à disposition des documents de la consultation et de la copie de sauvegarde.</w:t>
      </w:r>
    </w:p>
    <w:p/>
    <w:p>
      <w:r>
        <w:t>La copie de sauvegarde peut être sur support physique électronique (Clé USB). Cette copie est transmise sous pli scellé et comporte obligatoirement la mention lisible « Copie de sauvegarde » à l’adresse suivante :</w:t>
      </w:r>
    </w:p>
    <w:p>
      <w:pPr>
        <w:jc w:val="center"/>
      </w:pPr>
      <w:r>
        <w:t>Centre Hospitalier de Saint-Denis</w:t>
      </w:r>
    </w:p>
    <w:p>
      <w:pPr>
        <w:jc w:val="center"/>
        <w:rPr>
          <w:b/>
        </w:rPr>
      </w:pPr>
      <w:r>
        <w:rPr>
          <w:b/>
        </w:rPr>
        <w:t>Direction des Achats</w:t>
      </w:r>
    </w:p>
    <w:p>
      <w:pPr>
        <w:jc w:val="center"/>
      </w:pPr>
      <w:r>
        <w:t>2, rue du Docteur Delafontaine</w:t>
      </w:r>
    </w:p>
    <w:p>
      <w:pPr>
        <w:jc w:val="center"/>
      </w:pPr>
      <w:r>
        <w:t>93200 Saint-Denis</w:t>
      </w:r>
    </w:p>
    <w:p>
      <w:pPr>
        <w:ind w:left="1418" w:right="411"/>
        <w:jc w:val="center"/>
        <w:rPr>
          <w:rFonts w:ascii="Calibri Light" w:hAnsi="Calibri Light" w:cs="Calibri Light"/>
          <w:bCs/>
          <w:sz w:val="20"/>
        </w:rPr>
      </w:pPr>
    </w:p>
    <w:p>
      <w:pPr>
        <w:rPr>
          <w:rFonts w:ascii="Calibri Light" w:hAnsi="Calibri Light" w:cs="Calibri Light"/>
          <w:b/>
          <w:sz w:val="20"/>
        </w:rPr>
      </w:pPr>
      <w:r>
        <w:rPr>
          <w:rFonts w:ascii="Calibri Light" w:hAnsi="Calibri Light" w:cs="Calibri Light"/>
          <w:sz w:val="20"/>
        </w:rPr>
        <w:t xml:space="preserve">Elle comporte avec la mention </w:t>
      </w:r>
      <w:r>
        <w:rPr>
          <w:rFonts w:ascii="Calibri Light" w:hAnsi="Calibri Light" w:cs="Calibri Light"/>
          <w:b/>
          <w:sz w:val="20"/>
        </w:rPr>
        <w:t xml:space="preserve">: « RELANCE LOT 1 </w:t>
      </w:r>
      <w:r>
        <w:rPr>
          <w:rFonts w:ascii="Calibri Light" w:hAnsi="Calibri Light" w:cs="Calibri Light"/>
          <w:b/>
          <w:bCs/>
          <w:sz w:val="20"/>
        </w:rPr>
        <w:t>DEMENAGEMENT DE LA SALLE SERVEUR AU BMC 9 ET REMISE EN PROPRETE DE LA DSIN</w:t>
      </w:r>
      <w:r>
        <w:rPr>
          <w:rFonts w:ascii="Calibri Light" w:hAnsi="Calibri Light" w:cs="Calibri Light"/>
          <w:b/>
          <w:sz w:val="20"/>
        </w:rPr>
        <w:t xml:space="preserve"> » et le </w:t>
      </w:r>
      <w:r>
        <w:rPr>
          <w:rFonts w:ascii="Calibri Light" w:hAnsi="Calibri Light" w:cs="Calibri Light"/>
          <w:b/>
          <w:sz w:val="20"/>
          <w:u w:val="single"/>
        </w:rPr>
        <w:t>nom de la société</w:t>
      </w:r>
      <w:r>
        <w:rPr>
          <w:rFonts w:ascii="Calibri Light" w:hAnsi="Calibri Light" w:cs="Calibri Light"/>
          <w:b/>
          <w:sz w:val="20"/>
        </w:rPr>
        <w:t> »</w:t>
      </w:r>
    </w:p>
    <w:p>
      <w:pPr>
        <w:ind w:right="411"/>
        <w:rPr>
          <w:rFonts w:ascii="Calibri Light" w:hAnsi="Calibri Light" w:cs="Calibri Light"/>
          <w:b/>
          <w:sz w:val="20"/>
        </w:rPr>
      </w:pPr>
    </w:p>
    <w:p>
      <w:r>
        <w:t xml:space="preserve">Cette copie doit parvenir dans les délais impartis pour la remise des réponses. Il est rappelé que le « cachet de la Poste » ne fait pas foi en matière de contrats administratifs ayant pour objet l'exécution de travaux, la livraison de fournitures ou la prestation de services, avec une contrepartie économique constituée par un prix (article </w:t>
      </w:r>
      <w:r>
        <w:rPr>
          <w:bCs/>
        </w:rPr>
        <w:t>L112-1 du Code des relations entre le public et l'administration</w:t>
      </w:r>
      <w:r>
        <w:t xml:space="preserve">) : </w:t>
      </w:r>
    </w:p>
    <w:p>
      <w:r>
        <w:t>Il est impératif de respecter le délai indiqué.</w:t>
      </w:r>
    </w:p>
    <w:p/>
    <w:p>
      <w:r>
        <w:t>Conformément à l’arrêté précité, la copie de sauvegarde pourra être ouverte :</w:t>
      </w:r>
    </w:p>
    <w:p>
      <w:r>
        <w:t xml:space="preserve">Lorsqu’un programme informatique malveillant est détecté dans les candidatures ou les offres transmises par voie électronique. La trace de cette malveillance est conservée ; </w:t>
      </w:r>
    </w:p>
    <w:p>
      <w:r>
        <w:t xml:space="preserve">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pPr>
        <w:rPr>
          <w:b/>
        </w:rPr>
      </w:pPr>
    </w:p>
    <w:p>
      <w:r>
        <w:t xml:space="preserve">Lorsqu’un programme informatique malveillant est détecté dans la copie de sauvegarde, celle-ci est écartée par l’acheteur. Il est fortement recommandé d'adresser cette copie de sauvegarde, car elle n'engendre pas de réel surcoût ni charge de travail supplémentaire pour les candidats et permet de parer à toute éventualité. </w:t>
      </w:r>
    </w:p>
    <w:p>
      <w:r>
        <w:t>Néanmoins la copie de sauvegarde ne peut être prise en considération que si elle est parvenue dans le délai prescrit pour le dépôt des plis.</w:t>
      </w:r>
    </w:p>
    <w:p>
      <w:pPr>
        <w:pStyle w:val="Titre1"/>
      </w:pPr>
      <w:bookmarkStart w:id="54" w:name="_Toc205212182"/>
      <w:r>
        <w:t>PRESENTATION DES DOSSIERS</w:t>
      </w:r>
      <w:bookmarkEnd w:id="54"/>
    </w:p>
    <w:p>
      <w:pPr>
        <w:pStyle w:val="Titre2"/>
      </w:pPr>
      <w:bookmarkStart w:id="55" w:name="_Toc87023180"/>
      <w:r>
        <w:t>Présentation des fichiers composant l’offre</w:t>
      </w:r>
      <w:bookmarkEnd w:id="55"/>
      <w:r>
        <w:t> :</w:t>
      </w:r>
    </w:p>
    <w:p>
      <w:r>
        <w:t xml:space="preserve">Pour pouvoir ouvrir les offres électroniques dans les meilleures conditions, il est demandé aux candidats, dans la mesure du possible, d’intituler les fichiers composant l’offre selon les modalités suivantes : Tous les fichiers électroniques seront nommés : </w:t>
      </w:r>
      <w:r>
        <w:rPr>
          <w:b/>
        </w:rPr>
        <w:t>désignation de la pièce, nom de la société.</w:t>
      </w:r>
    </w:p>
    <w:p>
      <w:pPr>
        <w:rPr>
          <w:rFonts w:ascii="Calibri Light" w:hAnsi="Calibri Light" w:cs="Calibri Light"/>
          <w:sz w:val="20"/>
        </w:rPr>
      </w:pPr>
    </w:p>
    <w:p>
      <w:r>
        <w:t xml:space="preserve">Remarque : </w:t>
      </w:r>
    </w:p>
    <w:p>
      <w:r>
        <w:t>Le nom de la société peut être entier, ou raccourci (3 à 5 lettres). Dans tous les cas, il ne devra pas faire apparaître SARL, société anonyme (SA)…</w:t>
      </w:r>
    </w:p>
    <w:p/>
    <w:p>
      <w:r>
        <w:t>La désignation de la pièce devra être la plus claire possible ; pour certaines, il est demandé un format d’écriture :</w:t>
      </w:r>
    </w:p>
    <w:p/>
    <w:p>
      <w:pPr>
        <w:ind w:left="1418"/>
        <w:rPr>
          <w:b/>
        </w:rPr>
      </w:pPr>
      <w:r>
        <w:lastRenderedPageBreak/>
        <w:t xml:space="preserve">- l’acte d’engagement : </w:t>
      </w:r>
      <w:r>
        <w:rPr>
          <w:b/>
        </w:rPr>
        <w:t>AE</w:t>
      </w:r>
    </w:p>
    <w:p>
      <w:pPr>
        <w:ind w:left="1418"/>
      </w:pPr>
      <w:r>
        <w:rPr>
          <w:b/>
        </w:rPr>
        <w:t xml:space="preserve">- DC1 </w:t>
      </w:r>
      <w:r>
        <w:t>et</w:t>
      </w:r>
      <w:r>
        <w:rPr>
          <w:b/>
        </w:rPr>
        <w:t xml:space="preserve"> DC2</w:t>
      </w:r>
      <w:r>
        <w:rPr>
          <w:b/>
        </w:rPr>
        <w:tab/>
      </w:r>
      <w:r>
        <w:tab/>
      </w:r>
      <w:r>
        <w:tab/>
      </w:r>
    </w:p>
    <w:p>
      <w:pPr>
        <w:ind w:left="1418"/>
        <w:rPr>
          <w:b/>
          <w:bCs/>
        </w:rPr>
      </w:pPr>
      <w:r>
        <w:t>- Décomposition des Prix Globale et Forfaitaire</w:t>
      </w:r>
      <w:r>
        <w:rPr>
          <w:b/>
          <w:bCs/>
        </w:rPr>
        <w:t xml:space="preserve"> : DPGF </w:t>
      </w:r>
    </w:p>
    <w:p>
      <w:pPr>
        <w:ind w:left="1418"/>
        <w:rPr>
          <w:b/>
        </w:rPr>
      </w:pPr>
      <w:r>
        <w:t xml:space="preserve">- Cadres de réponse technique : </w:t>
      </w:r>
      <w:r>
        <w:rPr>
          <w:b/>
        </w:rPr>
        <w:t>CRT_</w:t>
      </w:r>
      <w:bookmarkStart w:id="56" w:name="_Toc95980371"/>
      <w:bookmarkStart w:id="57" w:name="_Toc95986953"/>
      <w:bookmarkStart w:id="58" w:name="_Toc95987090"/>
      <w:r>
        <w:rPr>
          <w:b/>
        </w:rPr>
        <w:t>RL_LOT1_DEMENAGEMENT_BMC9</w:t>
      </w:r>
    </w:p>
    <w:p>
      <w:pPr>
        <w:pStyle w:val="Titre2"/>
      </w:pPr>
      <w:r>
        <w:t>SIGNATURE DES OFFRES</w:t>
      </w:r>
      <w:bookmarkEnd w:id="56"/>
      <w:bookmarkEnd w:id="57"/>
      <w:bookmarkEnd w:id="58"/>
    </w:p>
    <w:p>
      <w:r>
        <w:t xml:space="preserve">Pour tout document signé, la signature est électronique (à l’exception de la copie de sauvegarde remise sous format papier qui est signée de manière manuscrite, le cas échéant). </w:t>
      </w:r>
    </w:p>
    <w:p>
      <w:r>
        <w:t xml:space="preserve">Une signature manuscrite scannée n'a pas de valeur juridique. Elle constitue une copie de la signature manuscrite et ne peut pas remplacer la signature électronique. </w:t>
      </w:r>
    </w:p>
    <w:p>
      <w:r>
        <w:t>Les opérateurs économiques sont invités à utiliser le parapheur électronique prévu à l’article 7 de l’arrêté du 12 avril 2018 suscité, permettant ainsi la signature d'un même document par plusieurs signataires.</w:t>
      </w:r>
      <w:bookmarkStart w:id="59" w:name="_Toc483384920"/>
      <w:bookmarkStart w:id="60" w:name="_Toc3385680"/>
      <w:bookmarkStart w:id="61" w:name="_Toc3385794"/>
      <w:bookmarkStart w:id="62" w:name="_Toc22283288"/>
      <w:bookmarkStart w:id="63" w:name="_Toc95980372"/>
      <w:bookmarkStart w:id="64" w:name="_Toc95986954"/>
      <w:bookmarkStart w:id="65" w:name="_Toc95987091"/>
    </w:p>
    <w:p>
      <w:pPr>
        <w:rPr>
          <w:rFonts w:ascii="Calibri Light" w:hAnsi="Calibri Light" w:cs="Calibri Light"/>
          <w:sz w:val="20"/>
        </w:rPr>
      </w:pPr>
    </w:p>
    <w:p>
      <w:pPr>
        <w:rPr>
          <w:b/>
          <w:u w:val="single"/>
        </w:rPr>
      </w:pPr>
      <w:r>
        <w:rPr>
          <w:b/>
          <w:u w:val="single"/>
        </w:rPr>
        <w:t>Signataire</w:t>
      </w:r>
      <w:bookmarkEnd w:id="59"/>
      <w:bookmarkEnd w:id="60"/>
      <w:bookmarkEnd w:id="61"/>
      <w:bookmarkEnd w:id="62"/>
      <w:bookmarkEnd w:id="63"/>
      <w:bookmarkEnd w:id="64"/>
      <w:bookmarkEnd w:id="65"/>
    </w:p>
    <w:p>
      <w:r>
        <w:t>Pour tout document signé, la signature doit émaner d'une personne habilitée à engager le candidat :</w:t>
      </w:r>
    </w:p>
    <w:p/>
    <w:p>
      <w:pPr>
        <w:numPr>
          <w:ilvl w:val="0"/>
          <w:numId w:val="19"/>
        </w:numPr>
        <w:rPr>
          <w:rFonts w:asciiTheme="minorHAnsi" w:hAnsiTheme="minorHAnsi" w:cstheme="minorHAnsi"/>
        </w:rPr>
      </w:pPr>
      <w:r>
        <w:rPr>
          <w:rFonts w:asciiTheme="minorHAnsi" w:hAnsiTheme="minorHAnsi" w:cstheme="minorHAnsi"/>
        </w:rPr>
        <w:t>Le représentant légal du candidat ;</w:t>
      </w:r>
    </w:p>
    <w:p>
      <w:pPr>
        <w:numPr>
          <w:ilvl w:val="0"/>
          <w:numId w:val="19"/>
        </w:numPr>
        <w:rPr>
          <w:rFonts w:asciiTheme="minorHAnsi" w:hAnsiTheme="minorHAnsi" w:cstheme="minorHAnsi"/>
        </w:rPr>
      </w:pPr>
      <w:r>
        <w:rPr>
          <w:rFonts w:asciiTheme="minorHAnsi" w:hAnsiTheme="minorHAnsi" w:cstheme="minorHAnsi"/>
        </w:rPr>
        <w:t>Ou bien toute personne bénéficiant d'une délégation de pouvoir ou de signature établie par le représentant légal du candidat.</w:t>
      </w:r>
    </w:p>
    <w:p>
      <w:pPr>
        <w:ind w:left="1429"/>
        <w:rPr>
          <w:rFonts w:ascii="Calibri Light" w:hAnsi="Calibri Light" w:cs="Calibri Light"/>
          <w:sz w:val="20"/>
        </w:rPr>
      </w:pPr>
    </w:p>
    <w:p>
      <w:r>
        <w:t>Cas des candidats en groupements d’opérateurs économiques : en application de l’article R. 2142-23 du code de la commande publique, les candidatures et les offres sont présentées soit par l’ensemble des membres du groupement, soit par un mandataire qui justifie des habilitations nécessaires pour représenter les autres membres du groupement.</w:t>
      </w:r>
      <w:bookmarkStart w:id="66" w:name="_Toc483384921"/>
      <w:bookmarkStart w:id="67" w:name="_Toc3385681"/>
      <w:bookmarkStart w:id="68" w:name="_Toc3385795"/>
      <w:bookmarkStart w:id="69" w:name="_Toc22283289"/>
      <w:bookmarkStart w:id="70" w:name="_Toc95980373"/>
      <w:bookmarkStart w:id="71" w:name="_Toc95986955"/>
      <w:bookmarkStart w:id="72" w:name="_Toc95987092"/>
    </w:p>
    <w:p>
      <w:pPr>
        <w:rPr>
          <w:rFonts w:ascii="Calibri Light" w:hAnsi="Calibri Light" w:cs="Calibri Light"/>
          <w:sz w:val="20"/>
        </w:rPr>
      </w:pPr>
    </w:p>
    <w:p>
      <w:pPr>
        <w:rPr>
          <w:b/>
          <w:u w:val="single"/>
        </w:rPr>
      </w:pPr>
      <w:r>
        <w:rPr>
          <w:b/>
          <w:u w:val="single"/>
        </w:rPr>
        <w:t>Signature électronique</w:t>
      </w:r>
      <w:bookmarkEnd w:id="66"/>
      <w:bookmarkEnd w:id="67"/>
      <w:bookmarkEnd w:id="68"/>
      <w:bookmarkEnd w:id="69"/>
      <w:bookmarkEnd w:id="70"/>
      <w:bookmarkEnd w:id="71"/>
      <w:bookmarkEnd w:id="72"/>
    </w:p>
    <w:p>
      <w:r>
        <w:t>Les candidats sont vivement encouragés à utiliser les outils de signature de la plateforme.</w:t>
      </w:r>
    </w:p>
    <w:p/>
    <w:p>
      <w:pPr>
        <w:rPr>
          <w:b/>
          <w:u w:val="single"/>
        </w:rPr>
      </w:pPr>
      <w:r>
        <w:rPr>
          <w:b/>
          <w:u w:val="single"/>
        </w:rPr>
        <w:t>Validité de la signature électronique</w:t>
      </w:r>
    </w:p>
    <w:p>
      <w:r>
        <w:t>Le certificat de signature du signataire respecte au moins le niveau de sécurité préconisé.</w:t>
      </w:r>
    </w:p>
    <w:p>
      <w:pPr>
        <w:rPr>
          <w:rFonts w:ascii="Calibri Light" w:hAnsi="Calibri Light" w:cs="Calibri Light"/>
          <w:sz w:val="20"/>
          <w:u w:val="single"/>
        </w:rPr>
      </w:pPr>
    </w:p>
    <w:p>
      <w:pPr>
        <w:rPr>
          <w:rFonts w:asciiTheme="minorHAnsi" w:hAnsiTheme="minorHAnsi" w:cstheme="minorHAnsi"/>
          <w:szCs w:val="22"/>
        </w:rPr>
      </w:pPr>
      <w:r>
        <w:rPr>
          <w:rFonts w:asciiTheme="minorHAnsi" w:hAnsiTheme="minorHAnsi" w:cstheme="minorHAnsi"/>
          <w:szCs w:val="22"/>
          <w:u w:val="single"/>
        </w:rPr>
        <w:t>1er cas</w:t>
      </w:r>
      <w:r>
        <w:rPr>
          <w:rFonts w:asciiTheme="minorHAnsi" w:hAnsiTheme="minorHAnsi" w:cstheme="minorHAnsi"/>
          <w:szCs w:val="22"/>
        </w:rPr>
        <w:t xml:space="preserve"> : Certificat émis par une Autorité de certification "reconnue"</w:t>
      </w:r>
    </w:p>
    <w:p>
      <w:pPr>
        <w:rPr>
          <w:rFonts w:ascii="Calibri Light" w:hAnsi="Calibri Light" w:cs="Calibri Light"/>
          <w:sz w:val="20"/>
        </w:rPr>
      </w:pPr>
      <w:r>
        <w:rPr>
          <w:rFonts w:asciiTheme="minorHAnsi" w:hAnsiTheme="minorHAnsi" w:cstheme="minorHAnsi"/>
          <w:szCs w:val="22"/>
        </w:rPr>
        <w:t>Le certificat de signature est émis par une Autorité de certification mentionnée dans la liste de confiance suivante</w:t>
      </w:r>
      <w:r>
        <w:rPr>
          <w:rFonts w:ascii="Calibri Light" w:hAnsi="Calibri Light" w:cs="Calibri Light"/>
          <w:szCs w:val="22"/>
        </w:rPr>
        <w:t xml:space="preserve"> : </w:t>
      </w:r>
      <w:hyperlink r:id="rId23" w:history="1">
        <w:r>
          <w:rPr>
            <w:rStyle w:val="Lienhypertexte"/>
            <w:rFonts w:ascii="Calibri Light" w:hAnsi="Calibri Light" w:cs="Calibri Light"/>
            <w:szCs w:val="22"/>
          </w:rPr>
          <w:t>https://www.ssi.gouv.fr/uploads/2016/07/tl-fr.pdf</w:t>
        </w:r>
      </w:hyperlink>
    </w:p>
    <w:p>
      <w:pPr>
        <w:rPr>
          <w:rFonts w:asciiTheme="minorHAnsi" w:hAnsiTheme="minorHAnsi" w:cstheme="minorHAnsi"/>
        </w:rPr>
      </w:pPr>
      <w:r>
        <w:rPr>
          <w:rFonts w:asciiTheme="minorHAnsi" w:hAnsiTheme="minorHAnsi" w:cstheme="minorHAnsi"/>
        </w:rPr>
        <w:t>Dans ce cas, le soumissionnaire n'a aucun justificatif à fournir sur le certificat de signature utilisé pour signer sa réponse.</w:t>
      </w:r>
    </w:p>
    <w:p>
      <w:pPr>
        <w:rPr>
          <w:rFonts w:ascii="Calibri Light" w:hAnsi="Calibri Light" w:cs="Calibri Light"/>
          <w:sz w:val="20"/>
        </w:rPr>
      </w:pPr>
    </w:p>
    <w:p>
      <w:pPr>
        <w:jc w:val="left"/>
      </w:pPr>
      <w:r>
        <w:rPr>
          <w:u w:val="single"/>
        </w:rPr>
        <w:t>2ème cas</w:t>
      </w:r>
      <w:r>
        <w:t xml:space="preserve"> : Le certificat de signature électronique n’est pas référencé sur une liste de confiance </w:t>
      </w:r>
    </w:p>
    <w:p>
      <w:pPr>
        <w:jc w:val="left"/>
      </w:pPr>
      <w:r>
        <w:t>Le candidat s’assure que le certificat qu’il utilise est au moins conforme au niveau de sécurité préconisé (« exigences applicables aux certificats qualifiés de signature électronique) du règlement européen n° 910/2014 DU PARLEMENT EUROPÉEN ET DU CONSEIL du 23 juillet 2014 sur l’identification électronique et les services de confiance pour les transactions électroniques au sein du marché intérieur et abrogeant la directive 1999/93/CE</w:t>
      </w:r>
    </w:p>
    <w:p>
      <w:pPr>
        <w:jc w:val="left"/>
      </w:pPr>
      <w:r>
        <w:t>(</w:t>
      </w:r>
      <w:hyperlink r:id="rId24" w:history="1">
        <w:r>
          <w:rPr>
            <w:rStyle w:val="Lienhypertexte"/>
            <w:rFonts w:ascii="Calibri Light" w:hAnsi="Calibri Light" w:cs="Calibri Light"/>
            <w:sz w:val="20"/>
          </w:rPr>
          <w:t>https://eur-lex.europa.eu/legal-content/FR/TXT/?uri=celex%3A32014R0910</w:t>
        </w:r>
      </w:hyperlink>
      <w:r>
        <w:t>)</w:t>
      </w:r>
    </w:p>
    <w:p>
      <w:pPr>
        <w:rPr>
          <w:rFonts w:ascii="Calibri Light" w:hAnsi="Calibri Light" w:cs="Calibri Light"/>
          <w:sz w:val="20"/>
          <w:u w:val="single"/>
        </w:rPr>
      </w:pPr>
    </w:p>
    <w:p>
      <w:pPr>
        <w:rPr>
          <w:rFonts w:asciiTheme="minorHAnsi" w:hAnsiTheme="minorHAnsi" w:cstheme="minorHAnsi"/>
          <w:u w:val="single"/>
        </w:rPr>
      </w:pPr>
      <w:r>
        <w:rPr>
          <w:rFonts w:asciiTheme="minorHAnsi" w:hAnsiTheme="minorHAnsi" w:cstheme="minorHAnsi"/>
          <w:u w:val="single"/>
        </w:rPr>
        <w:t xml:space="preserve">Justificatifs de conformité à produire </w:t>
      </w:r>
    </w:p>
    <w:p>
      <w:pPr>
        <w:rPr>
          <w:rFonts w:asciiTheme="minorHAnsi" w:hAnsiTheme="minorHAnsi" w:cstheme="minorHAnsi"/>
        </w:rPr>
      </w:pPr>
      <w:r>
        <w:rPr>
          <w:rFonts w:asciiTheme="minorHAnsi" w:hAnsiTheme="minorHAnsi" w:cstheme="minorHAnsi"/>
        </w:rPr>
        <w:t>→ Le signataire transmet les informations suivantes :</w:t>
      </w:r>
    </w:p>
    <w:p>
      <w:pPr>
        <w:rPr>
          <w:rFonts w:asciiTheme="minorHAnsi" w:hAnsiTheme="minorHAnsi" w:cstheme="minorHAnsi"/>
        </w:rPr>
      </w:pPr>
      <w:r>
        <w:rPr>
          <w:rFonts w:asciiTheme="minorHAnsi" w:hAnsiTheme="minorHAnsi" w:cstheme="minorHAnsi"/>
        </w:rPr>
        <w:t>La procédure permettant la vérification de la qualité et du niveau de sécurité du certificat de signature utilisé : preuve de la qualification de l'Autorité de certification, la politique de certification…)</w:t>
      </w:r>
    </w:p>
    <w:p>
      <w:pPr>
        <w:rPr>
          <w:rFonts w:asciiTheme="minorHAnsi" w:hAnsiTheme="minorHAnsi" w:cstheme="minorHAnsi"/>
        </w:rPr>
      </w:pPr>
      <w:r>
        <w:rPr>
          <w:rFonts w:asciiTheme="minorHAnsi" w:hAnsiTheme="minorHAnsi" w:cstheme="minorHAnsi"/>
        </w:rPr>
        <w:lastRenderedPageBreak/>
        <w:t>Le candidat fournit notamment les outils techniques de vérification du certificat : chaîne de certification complète jusqu’à l’AC racine, adresse de téléchargement de la dernière mise à jour de la liste de révocation.</w:t>
      </w:r>
    </w:p>
    <w:p>
      <w:pPr>
        <w:rPr>
          <w:rFonts w:asciiTheme="minorHAnsi" w:hAnsiTheme="minorHAnsi" w:cstheme="minorHAnsi"/>
        </w:rPr>
      </w:pPr>
    </w:p>
    <w:p>
      <w:pPr>
        <w:rPr>
          <w:rFonts w:asciiTheme="minorHAnsi" w:hAnsiTheme="minorHAnsi" w:cstheme="minorHAnsi"/>
        </w:rPr>
      </w:pPr>
      <w:r>
        <w:rPr>
          <w:rFonts w:asciiTheme="minorHAnsi" w:hAnsiTheme="minorHAnsi" w:cstheme="minorHAnsi"/>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pPr>
        <w:pStyle w:val="Titre1"/>
      </w:pPr>
      <w:bookmarkStart w:id="73" w:name="_Toc205212183"/>
      <w:r>
        <w:t>Critères de JUGEMENT DES OFFRES</w:t>
      </w:r>
      <w:bookmarkEnd w:id="73"/>
    </w:p>
    <w:p>
      <w:pPr>
        <w:pStyle w:val="Titre2"/>
      </w:pPr>
      <w:r>
        <w:t>Certification obligatoire</w:t>
      </w:r>
    </w:p>
    <w:p>
      <w:pPr>
        <w:rPr>
          <w:rFonts w:ascii="Calibri Light" w:hAnsi="Calibri Light" w:cs="Calibri Light"/>
          <w:bCs/>
          <w:sz w:val="20"/>
        </w:rPr>
      </w:pPr>
    </w:p>
    <w:p>
      <w:pPr>
        <w:rPr>
          <w:rFonts w:ascii="Calibri Light" w:hAnsi="Calibri Light" w:cs="Calibri Light"/>
          <w:bCs/>
          <w:sz w:val="20"/>
        </w:rPr>
      </w:pPr>
      <w:r>
        <w:rPr>
          <w:rFonts w:ascii="Calibri Light" w:hAnsi="Calibri Light" w:cs="Calibri Light"/>
          <w:bCs/>
          <w:sz w:val="20"/>
        </w:rPr>
        <w:t xml:space="preserve">Pour le lot 3 (Electricité) : </w:t>
      </w:r>
      <w:r>
        <w:rPr>
          <w:rFonts w:ascii="Calibri Light" w:hAnsi="Calibri Light" w:cs="Calibri Light"/>
          <w:b/>
          <w:bCs/>
          <w:sz w:val="20"/>
        </w:rPr>
        <w:t>Qualifelec</w:t>
      </w:r>
      <w:r>
        <w:rPr>
          <w:rFonts w:ascii="Calibri Light" w:hAnsi="Calibri Light" w:cs="Calibri Light"/>
          <w:bCs/>
          <w:sz w:val="20"/>
        </w:rPr>
        <w:t xml:space="preserve"> – Classe 3 minimum</w:t>
      </w:r>
    </w:p>
    <w:p>
      <w:pPr>
        <w:rPr>
          <w:rFonts w:ascii="Calibri Light" w:hAnsi="Calibri Light" w:cs="Calibri Light"/>
          <w:bCs/>
          <w:sz w:val="20"/>
        </w:rPr>
      </w:pPr>
      <w:r>
        <w:rPr>
          <w:rFonts w:ascii="Calibri Light" w:hAnsi="Calibri Light" w:cs="Calibri Light"/>
          <w:bCs/>
          <w:sz w:val="20"/>
        </w:rPr>
        <w:t xml:space="preserve">Pour le lot 4 (CVC) : </w:t>
      </w:r>
      <w:r>
        <w:rPr>
          <w:rFonts w:ascii="Calibri Light" w:hAnsi="Calibri Light" w:cs="Calibri Light"/>
          <w:b/>
          <w:bCs/>
          <w:color w:val="1F3864" w:themeColor="accent1" w:themeShade="80"/>
          <w:sz w:val="20"/>
        </w:rPr>
        <w:t>a/</w:t>
      </w:r>
      <w:r>
        <w:rPr>
          <w:rFonts w:ascii="Calibri Light" w:hAnsi="Calibri Light" w:cs="Calibri Light"/>
          <w:bCs/>
          <w:color w:val="1F3864" w:themeColor="accent1" w:themeShade="80"/>
          <w:sz w:val="20"/>
        </w:rPr>
        <w:t xml:space="preserve"> </w:t>
      </w:r>
      <w:r>
        <w:rPr>
          <w:rFonts w:ascii="Calibri Light" w:hAnsi="Calibri Light" w:cs="Calibri Light"/>
          <w:bCs/>
          <w:sz w:val="20"/>
        </w:rPr>
        <w:t xml:space="preserve">Qualibat 5231 </w:t>
      </w:r>
      <w:r>
        <w:rPr>
          <w:rFonts w:ascii="Calibri Light" w:hAnsi="Calibri Light" w:cs="Calibri Light"/>
          <w:b/>
          <w:bCs/>
          <w:color w:val="1F3864" w:themeColor="accent1" w:themeShade="80"/>
          <w:sz w:val="20"/>
        </w:rPr>
        <w:t>b/</w:t>
      </w:r>
      <w:r>
        <w:rPr>
          <w:rFonts w:ascii="Calibri Light" w:hAnsi="Calibri Light" w:cs="Calibri Light"/>
          <w:bCs/>
          <w:color w:val="1F3864" w:themeColor="accent1" w:themeShade="80"/>
          <w:sz w:val="20"/>
        </w:rPr>
        <w:t xml:space="preserve"> </w:t>
      </w:r>
      <w:r>
        <w:rPr>
          <w:rFonts w:ascii="Calibri Light" w:hAnsi="Calibri Light" w:cs="Calibri Light"/>
          <w:bCs/>
          <w:sz w:val="20"/>
        </w:rPr>
        <w:t xml:space="preserve">Qualibat 5232 </w:t>
      </w:r>
      <w:r>
        <w:rPr>
          <w:rFonts w:ascii="Calibri Light" w:hAnsi="Calibri Light" w:cs="Calibri Light"/>
          <w:b/>
          <w:bCs/>
          <w:color w:val="1F3864" w:themeColor="accent1" w:themeShade="80"/>
          <w:sz w:val="20"/>
        </w:rPr>
        <w:t>c/</w:t>
      </w:r>
      <w:r>
        <w:rPr>
          <w:rFonts w:ascii="Calibri Light" w:hAnsi="Calibri Light" w:cs="Calibri Light"/>
          <w:bCs/>
          <w:color w:val="1F3864" w:themeColor="accent1" w:themeShade="80"/>
          <w:sz w:val="20"/>
        </w:rPr>
        <w:t xml:space="preserve"> </w:t>
      </w:r>
      <w:r>
        <w:rPr>
          <w:rFonts w:ascii="Calibri Light" w:hAnsi="Calibri Light" w:cs="Calibri Light"/>
          <w:bCs/>
          <w:sz w:val="20"/>
        </w:rPr>
        <w:t>Qualibat 5511</w:t>
      </w:r>
    </w:p>
    <w:p>
      <w:pPr>
        <w:pStyle w:val="Titre1"/>
      </w:pPr>
      <w:bookmarkStart w:id="74" w:name="_Toc113976730"/>
      <w:bookmarkStart w:id="75" w:name="_Toc205212184"/>
      <w:r>
        <w:t>JUGEMENTS ET CLASSEMENTS DES OFFRES</w:t>
      </w:r>
      <w:bookmarkEnd w:id="74"/>
      <w:bookmarkEnd w:id="75"/>
    </w:p>
    <w:p>
      <w:pPr>
        <w:pStyle w:val="Titre2"/>
      </w:pPr>
      <w:r>
        <w:t>Documents</w:t>
      </w:r>
      <w:r>
        <w:rPr>
          <w:spacing w:val="-2"/>
        </w:rPr>
        <w:t xml:space="preserve"> </w:t>
      </w:r>
      <w:r>
        <w:t>à</w:t>
      </w:r>
      <w:r>
        <w:rPr>
          <w:spacing w:val="-4"/>
        </w:rPr>
        <w:t xml:space="preserve"> </w:t>
      </w:r>
      <w:r>
        <w:t>remettre</w:t>
      </w:r>
      <w:r>
        <w:rPr>
          <w:spacing w:val="-1"/>
        </w:rPr>
        <w:t xml:space="preserve"> </w:t>
      </w:r>
      <w:r>
        <w:t>:</w:t>
      </w:r>
      <w:r>
        <w:rPr>
          <w:spacing w:val="47"/>
        </w:rPr>
        <w:t xml:space="preserve"> </w:t>
      </w:r>
      <w:r>
        <w:t>Le</w:t>
      </w:r>
      <w:r>
        <w:rPr>
          <w:spacing w:val="-2"/>
        </w:rPr>
        <w:t xml:space="preserve"> </w:t>
      </w:r>
      <w:r>
        <w:t>mémoire</w:t>
      </w:r>
      <w:r>
        <w:rPr>
          <w:spacing w:val="-6"/>
        </w:rPr>
        <w:t xml:space="preserve"> </w:t>
      </w:r>
      <w:r>
        <w:t>technique</w:t>
      </w:r>
      <w:r>
        <w:rPr>
          <w:spacing w:val="-2"/>
        </w:rPr>
        <w:t xml:space="preserve"> </w:t>
      </w:r>
      <w:r>
        <w:t>du</w:t>
      </w:r>
      <w:r>
        <w:rPr>
          <w:spacing w:val="-5"/>
        </w:rPr>
        <w:t xml:space="preserve"> </w:t>
      </w:r>
      <w:r>
        <w:t>candidat</w:t>
      </w:r>
    </w:p>
    <w:p>
      <w:r>
        <w:t>Un</w:t>
      </w:r>
      <w:r>
        <w:rPr>
          <w:spacing w:val="-2"/>
        </w:rPr>
        <w:t xml:space="preserve"> </w:t>
      </w:r>
      <w:r>
        <w:t>mémoire</w:t>
      </w:r>
      <w:r>
        <w:rPr>
          <w:spacing w:val="-4"/>
        </w:rPr>
        <w:t xml:space="preserve"> </w:t>
      </w:r>
      <w:r>
        <w:t>technique détaillant les</w:t>
      </w:r>
      <w:r>
        <w:rPr>
          <w:spacing w:val="-3"/>
        </w:rPr>
        <w:t xml:space="preserve"> </w:t>
      </w:r>
      <w:r>
        <w:t>moyens</w:t>
      </w:r>
      <w:r>
        <w:rPr>
          <w:spacing w:val="-3"/>
        </w:rPr>
        <w:t xml:space="preserve"> </w:t>
      </w:r>
      <w:r>
        <w:t>mis en</w:t>
      </w:r>
      <w:r>
        <w:rPr>
          <w:spacing w:val="-3"/>
        </w:rPr>
        <w:t xml:space="preserve"> </w:t>
      </w:r>
      <w:r>
        <w:t>œuvre</w:t>
      </w:r>
      <w:r>
        <w:rPr>
          <w:spacing w:val="-1"/>
        </w:rPr>
        <w:t xml:space="preserve"> </w:t>
      </w:r>
      <w:r>
        <w:t>pour</w:t>
      </w:r>
      <w:r>
        <w:rPr>
          <w:spacing w:val="-1"/>
        </w:rPr>
        <w:t xml:space="preserve"> </w:t>
      </w:r>
      <w:r>
        <w:t>la bonne réalisation</w:t>
      </w:r>
      <w:r>
        <w:rPr>
          <w:spacing w:val="-2"/>
        </w:rPr>
        <w:t xml:space="preserve"> </w:t>
      </w:r>
      <w:r>
        <w:t>de</w:t>
      </w:r>
      <w:r>
        <w:rPr>
          <w:spacing w:val="-3"/>
        </w:rPr>
        <w:t xml:space="preserve"> </w:t>
      </w:r>
      <w:r>
        <w:t>l’opération.</w:t>
      </w:r>
    </w:p>
    <w:p>
      <w:r>
        <w:t>Il doit permettre au Centre Hospitalier de Saint-Denis, personne publique, d’apprécier la valeur</w:t>
      </w:r>
      <w:r>
        <w:rPr>
          <w:spacing w:val="-47"/>
        </w:rPr>
        <w:t xml:space="preserve">   </w:t>
      </w:r>
      <w:r>
        <w:t>technique de</w:t>
      </w:r>
      <w:r>
        <w:rPr>
          <w:spacing w:val="1"/>
        </w:rPr>
        <w:t xml:space="preserve"> </w:t>
      </w:r>
      <w:r>
        <w:t>l’offre.</w:t>
      </w:r>
    </w:p>
    <w:p>
      <w:pPr>
        <w:pStyle w:val="Corpsdetexte"/>
      </w:pPr>
    </w:p>
    <w:p>
      <w:pPr>
        <w:pStyle w:val="Corpsdetexte"/>
        <w:spacing w:before="1"/>
      </w:pPr>
      <w:r>
        <w:t>Ce</w:t>
      </w:r>
      <w:r>
        <w:rPr>
          <w:spacing w:val="-2"/>
        </w:rPr>
        <w:t xml:space="preserve"> </w:t>
      </w:r>
      <w:r>
        <w:t>document,</w:t>
      </w:r>
      <w:r>
        <w:rPr>
          <w:spacing w:val="-2"/>
        </w:rPr>
        <w:t xml:space="preserve"> </w:t>
      </w:r>
      <w:r>
        <w:t>qui</w:t>
      </w:r>
      <w:r>
        <w:rPr>
          <w:spacing w:val="-1"/>
        </w:rPr>
        <w:t xml:space="preserve"> </w:t>
      </w:r>
      <w:r>
        <w:t>prendra</w:t>
      </w:r>
      <w:r>
        <w:rPr>
          <w:spacing w:val="-2"/>
        </w:rPr>
        <w:t xml:space="preserve"> </w:t>
      </w:r>
      <w:r>
        <w:t>la</w:t>
      </w:r>
      <w:r>
        <w:rPr>
          <w:spacing w:val="-1"/>
        </w:rPr>
        <w:t xml:space="preserve"> </w:t>
      </w:r>
      <w:r>
        <w:t>forme</w:t>
      </w:r>
      <w:r>
        <w:rPr>
          <w:spacing w:val="-4"/>
        </w:rPr>
        <w:t xml:space="preserve"> </w:t>
      </w:r>
      <w:r>
        <w:t>d’un</w:t>
      </w:r>
      <w:r>
        <w:rPr>
          <w:spacing w:val="-2"/>
        </w:rPr>
        <w:t xml:space="preserve"> </w:t>
      </w:r>
      <w:r>
        <w:t>cadre</w:t>
      </w:r>
      <w:r>
        <w:rPr>
          <w:spacing w:val="-2"/>
        </w:rPr>
        <w:t xml:space="preserve"> </w:t>
      </w:r>
      <w:r>
        <w:t>de réponse</w:t>
      </w:r>
      <w:r>
        <w:rPr>
          <w:spacing w:val="-1"/>
        </w:rPr>
        <w:t xml:space="preserve"> </w:t>
      </w:r>
      <w:r>
        <w:t>fourni</w:t>
      </w:r>
      <w:r>
        <w:rPr>
          <w:spacing w:val="-1"/>
        </w:rPr>
        <w:t xml:space="preserve"> </w:t>
      </w:r>
      <w:r>
        <w:t>par</w:t>
      </w:r>
      <w:r>
        <w:rPr>
          <w:spacing w:val="-5"/>
        </w:rPr>
        <w:t xml:space="preserve"> </w:t>
      </w:r>
      <w:r>
        <w:t>le</w:t>
      </w:r>
      <w:r>
        <w:rPr>
          <w:spacing w:val="-2"/>
        </w:rPr>
        <w:t xml:space="preserve"> </w:t>
      </w:r>
      <w:r>
        <w:t>maître</w:t>
      </w:r>
      <w:r>
        <w:rPr>
          <w:spacing w:val="-1"/>
        </w:rPr>
        <w:t xml:space="preserve"> </w:t>
      </w:r>
      <w:r>
        <w:t>d’ouvrage et renseigné par le candidat,</w:t>
      </w:r>
      <w:r>
        <w:rPr>
          <w:spacing w:val="-5"/>
        </w:rPr>
        <w:t xml:space="preserve"> </w:t>
      </w:r>
      <w:r>
        <w:t>apportera</w:t>
      </w:r>
      <w:r>
        <w:rPr>
          <w:spacing w:val="-3"/>
        </w:rPr>
        <w:t xml:space="preserve"> </w:t>
      </w:r>
      <w:r>
        <w:t>notamment</w:t>
      </w:r>
      <w:r>
        <w:rPr>
          <w:spacing w:val="-2"/>
        </w:rPr>
        <w:t xml:space="preserve"> </w:t>
      </w:r>
      <w:r>
        <w:t>des</w:t>
      </w:r>
      <w:r>
        <w:rPr>
          <w:spacing w:val="-2"/>
        </w:rPr>
        <w:t xml:space="preserve"> </w:t>
      </w:r>
      <w:r>
        <w:t>informations</w:t>
      </w:r>
      <w:r>
        <w:rPr>
          <w:spacing w:val="-4"/>
        </w:rPr>
        <w:t xml:space="preserve"> </w:t>
      </w:r>
      <w:r>
        <w:t>sur</w:t>
      </w:r>
      <w:r>
        <w:rPr>
          <w:spacing w:val="2"/>
        </w:rPr>
        <w:t xml:space="preserve"> </w:t>
      </w:r>
      <w:r>
        <w:t>:</w:t>
      </w:r>
    </w:p>
    <w:p>
      <w:pPr>
        <w:pStyle w:val="Corpsdetexte"/>
        <w:spacing w:before="1"/>
      </w:pPr>
    </w:p>
    <w:p>
      <w:pPr>
        <w:pStyle w:val="Paragraphedeliste"/>
        <w:widowControl w:val="0"/>
        <w:numPr>
          <w:ilvl w:val="0"/>
          <w:numId w:val="46"/>
        </w:numPr>
        <w:tabs>
          <w:tab w:val="left" w:pos="1476"/>
          <w:tab w:val="left" w:pos="1477"/>
        </w:tabs>
        <w:autoSpaceDE w:val="0"/>
        <w:autoSpaceDN w:val="0"/>
        <w:spacing w:before="1"/>
        <w:ind w:right="2258"/>
        <w:jc w:val="left"/>
      </w:pPr>
      <w:r>
        <w:t xml:space="preserve">Les modes opératoires généraux, y compris : </w:t>
      </w:r>
      <w:r>
        <w:rPr>
          <w:spacing w:val="-47"/>
        </w:rPr>
        <w:t xml:space="preserve"> </w:t>
      </w:r>
      <w:r>
        <w:t>Procédés</w:t>
      </w:r>
      <w:r>
        <w:rPr>
          <w:spacing w:val="-2"/>
        </w:rPr>
        <w:t xml:space="preserve"> </w:t>
      </w:r>
      <w:r>
        <w:t>d'exécution</w:t>
      </w:r>
      <w:r>
        <w:rPr>
          <w:spacing w:val="-3"/>
        </w:rPr>
        <w:t xml:space="preserve"> </w:t>
      </w:r>
      <w:r>
        <w:t>;</w:t>
      </w:r>
    </w:p>
    <w:p>
      <w:pPr>
        <w:pStyle w:val="Corpsdetexte"/>
        <w:numPr>
          <w:ilvl w:val="0"/>
          <w:numId w:val="46"/>
        </w:numPr>
        <w:spacing w:before="2" w:line="237" w:lineRule="auto"/>
        <w:ind w:right="1717"/>
      </w:pPr>
      <w:r>
        <w:t>Méthodologie de programmation et délais d’intervention, y compris en cas d’urgence ;</w:t>
      </w:r>
    </w:p>
    <w:p>
      <w:pPr>
        <w:pStyle w:val="Corpsdetexte"/>
        <w:numPr>
          <w:ilvl w:val="0"/>
          <w:numId w:val="46"/>
        </w:numPr>
        <w:spacing w:before="2"/>
        <w:ind w:right="2103"/>
      </w:pPr>
      <w:r>
        <w:t>Précautions prévues pour interventions sur un site hospitalier occupé ; Gestion intervention</w:t>
      </w:r>
      <w:r>
        <w:rPr>
          <w:spacing w:val="-1"/>
        </w:rPr>
        <w:t xml:space="preserve"> </w:t>
      </w:r>
      <w:r>
        <w:t>des</w:t>
      </w:r>
      <w:r>
        <w:rPr>
          <w:spacing w:val="-3"/>
        </w:rPr>
        <w:t xml:space="preserve"> </w:t>
      </w:r>
      <w:r>
        <w:t>opérations post-réception)</w:t>
      </w:r>
      <w:r>
        <w:rPr>
          <w:spacing w:val="-3"/>
        </w:rPr>
        <w:t xml:space="preserve"> </w:t>
      </w:r>
      <w:r>
        <w:t>;</w:t>
      </w:r>
    </w:p>
    <w:p>
      <w:pPr>
        <w:pStyle w:val="Paragraphedeliste"/>
        <w:widowControl w:val="0"/>
        <w:numPr>
          <w:ilvl w:val="0"/>
          <w:numId w:val="46"/>
        </w:numPr>
        <w:tabs>
          <w:tab w:val="left" w:pos="1476"/>
          <w:tab w:val="left" w:pos="1477"/>
        </w:tabs>
        <w:autoSpaceDE w:val="0"/>
        <w:autoSpaceDN w:val="0"/>
        <w:ind w:right="4156"/>
        <w:jc w:val="left"/>
      </w:pPr>
      <w:r>
        <w:t>La qualité des produits et matériaux utilisés, y compris :</w:t>
      </w:r>
      <w:r>
        <w:rPr>
          <w:spacing w:val="-47"/>
        </w:rPr>
        <w:t xml:space="preserve"> </w:t>
      </w:r>
      <w:r>
        <w:t>Fiches</w:t>
      </w:r>
      <w:r>
        <w:rPr>
          <w:spacing w:val="-1"/>
        </w:rPr>
        <w:t xml:space="preserve"> </w:t>
      </w:r>
      <w:r>
        <w:t>techniques</w:t>
      </w:r>
      <w:r>
        <w:rPr>
          <w:spacing w:val="1"/>
        </w:rPr>
        <w:t xml:space="preserve"> </w:t>
      </w:r>
      <w:r>
        <w:t>;</w:t>
      </w:r>
    </w:p>
    <w:p>
      <w:pPr>
        <w:pStyle w:val="Paragraphedeliste"/>
        <w:widowControl w:val="0"/>
        <w:numPr>
          <w:ilvl w:val="0"/>
          <w:numId w:val="46"/>
        </w:numPr>
        <w:tabs>
          <w:tab w:val="left" w:pos="1476"/>
          <w:tab w:val="left" w:pos="1477"/>
        </w:tabs>
        <w:autoSpaceDE w:val="0"/>
        <w:autoSpaceDN w:val="0"/>
        <w:spacing w:before="1"/>
        <w:ind w:right="2384"/>
        <w:jc w:val="left"/>
      </w:pPr>
      <w:r>
        <w:t>Les moyens humains mis en œuvre pour assurer les prestations, y compris :</w:t>
      </w:r>
      <w:r>
        <w:rPr>
          <w:spacing w:val="-47"/>
        </w:rPr>
        <w:t xml:space="preserve"> </w:t>
      </w:r>
      <w:r>
        <w:t>Nombre d’intervenants</w:t>
      </w:r>
      <w:r>
        <w:rPr>
          <w:spacing w:val="-2"/>
        </w:rPr>
        <w:t xml:space="preserve"> </w:t>
      </w:r>
      <w:r>
        <w:t>dédiés à</w:t>
      </w:r>
      <w:r>
        <w:rPr>
          <w:spacing w:val="2"/>
        </w:rPr>
        <w:t xml:space="preserve"> </w:t>
      </w:r>
      <w:r>
        <w:t>l’accord-cadre ;</w:t>
      </w:r>
    </w:p>
    <w:p>
      <w:pPr>
        <w:pStyle w:val="Corpsdetexte"/>
        <w:numPr>
          <w:ilvl w:val="0"/>
          <w:numId w:val="46"/>
        </w:numPr>
      </w:pPr>
      <w:r>
        <w:t>Qualifications</w:t>
      </w:r>
      <w:r>
        <w:rPr>
          <w:spacing w:val="-5"/>
        </w:rPr>
        <w:t xml:space="preserve"> </w:t>
      </w:r>
      <w:r>
        <w:t>et</w:t>
      </w:r>
      <w:r>
        <w:rPr>
          <w:spacing w:val="-3"/>
        </w:rPr>
        <w:t xml:space="preserve"> </w:t>
      </w:r>
      <w:r>
        <w:t>références</w:t>
      </w:r>
      <w:r>
        <w:rPr>
          <w:spacing w:val="-2"/>
        </w:rPr>
        <w:t xml:space="preserve"> </w:t>
      </w:r>
      <w:r>
        <w:t>des</w:t>
      </w:r>
      <w:r>
        <w:rPr>
          <w:spacing w:val="-2"/>
        </w:rPr>
        <w:t xml:space="preserve"> </w:t>
      </w:r>
      <w:r>
        <w:t>intervenants</w:t>
      </w:r>
      <w:r>
        <w:rPr>
          <w:spacing w:val="-3"/>
        </w:rPr>
        <w:t xml:space="preserve"> </w:t>
      </w:r>
      <w:r>
        <w:t>;</w:t>
      </w:r>
    </w:p>
    <w:p>
      <w:pPr>
        <w:pStyle w:val="Paragraphedeliste"/>
        <w:widowControl w:val="0"/>
        <w:numPr>
          <w:ilvl w:val="0"/>
          <w:numId w:val="46"/>
        </w:numPr>
        <w:tabs>
          <w:tab w:val="left" w:pos="1476"/>
          <w:tab w:val="left" w:pos="1477"/>
        </w:tabs>
        <w:autoSpaceDE w:val="0"/>
        <w:autoSpaceDN w:val="0"/>
        <w:spacing w:before="1"/>
        <w:ind w:right="3587"/>
        <w:jc w:val="left"/>
      </w:pPr>
      <w:r>
        <w:t>Les moyens matériels pour assurer les prestations, y compris :</w:t>
      </w:r>
      <w:r>
        <w:rPr>
          <w:spacing w:val="-47"/>
        </w:rPr>
        <w:t xml:space="preserve"> </w:t>
      </w:r>
      <w:r>
        <w:t>Véhicules ;</w:t>
      </w:r>
    </w:p>
    <w:p>
      <w:pPr>
        <w:pStyle w:val="Corpsdetexte"/>
        <w:numPr>
          <w:ilvl w:val="0"/>
          <w:numId w:val="46"/>
        </w:numPr>
        <w:spacing w:line="267" w:lineRule="exact"/>
      </w:pPr>
      <w:r>
        <w:t>Outillage</w:t>
      </w:r>
      <w:r>
        <w:rPr>
          <w:spacing w:val="-1"/>
        </w:rPr>
        <w:t xml:space="preserve"> </w:t>
      </w:r>
      <w:r>
        <w:t>;</w:t>
      </w:r>
    </w:p>
    <w:p>
      <w:pPr>
        <w:pStyle w:val="Paragraphedeliste"/>
        <w:widowControl w:val="0"/>
        <w:numPr>
          <w:ilvl w:val="0"/>
          <w:numId w:val="46"/>
        </w:numPr>
        <w:tabs>
          <w:tab w:val="left" w:pos="1476"/>
          <w:tab w:val="left" w:pos="1477"/>
        </w:tabs>
        <w:autoSpaceDE w:val="0"/>
        <w:autoSpaceDN w:val="0"/>
        <w:jc w:val="left"/>
      </w:pPr>
      <w:r>
        <w:t>La</w:t>
      </w:r>
      <w:r>
        <w:rPr>
          <w:spacing w:val="-1"/>
        </w:rPr>
        <w:t xml:space="preserve"> </w:t>
      </w:r>
      <w:r>
        <w:t>gestion</w:t>
      </w:r>
      <w:r>
        <w:rPr>
          <w:spacing w:val="-2"/>
        </w:rPr>
        <w:t xml:space="preserve"> </w:t>
      </w:r>
      <w:r>
        <w:t>des</w:t>
      </w:r>
      <w:r>
        <w:rPr>
          <w:spacing w:val="-1"/>
        </w:rPr>
        <w:t xml:space="preserve"> </w:t>
      </w:r>
      <w:r>
        <w:t>déchets</w:t>
      </w:r>
    </w:p>
    <w:p>
      <w:pPr>
        <w:pStyle w:val="Paragraphedeliste"/>
        <w:widowControl w:val="0"/>
        <w:numPr>
          <w:ilvl w:val="0"/>
          <w:numId w:val="46"/>
        </w:numPr>
        <w:tabs>
          <w:tab w:val="left" w:pos="1476"/>
          <w:tab w:val="left" w:pos="1477"/>
        </w:tabs>
        <w:autoSpaceDE w:val="0"/>
        <w:autoSpaceDN w:val="0"/>
        <w:jc w:val="left"/>
      </w:pPr>
      <w:r>
        <w:t>Toute autre information que le candidat jugera utile au regard des critères de jugement des offres.</w:t>
      </w:r>
    </w:p>
    <w:p>
      <w:pPr>
        <w:pStyle w:val="Titre2"/>
      </w:pPr>
      <w:r>
        <w:t xml:space="preserve">Pour le jugement des candidatures : </w:t>
      </w:r>
    </w:p>
    <w:p>
      <w:r>
        <w:t>Le jugement des offres sera effectué dans les conditions suivantes : offre économiquement la plus</w:t>
      </w:r>
      <w:r>
        <w:rPr>
          <w:spacing w:val="1"/>
        </w:rPr>
        <w:t xml:space="preserve"> </w:t>
      </w:r>
      <w:r>
        <w:t>avantageuse appréciée en fonction des critères énoncés ci-dessous. Les critères qui seront utilisés en</w:t>
      </w:r>
      <w:r>
        <w:rPr>
          <w:spacing w:val="-47"/>
        </w:rPr>
        <w:t xml:space="preserve"> </w:t>
      </w:r>
      <w:r>
        <w:t>vue de</w:t>
      </w:r>
      <w:r>
        <w:rPr>
          <w:spacing w:val="-2"/>
        </w:rPr>
        <w:t xml:space="preserve"> </w:t>
      </w:r>
      <w:r>
        <w:t>l’analyse</w:t>
      </w:r>
      <w:r>
        <w:rPr>
          <w:spacing w:val="1"/>
        </w:rPr>
        <w:t xml:space="preserve"> </w:t>
      </w:r>
      <w:r>
        <w:t>des</w:t>
      </w:r>
      <w:r>
        <w:rPr>
          <w:spacing w:val="-3"/>
        </w:rPr>
        <w:t xml:space="preserve"> </w:t>
      </w:r>
      <w:r>
        <w:t>offres</w:t>
      </w:r>
      <w:r>
        <w:rPr>
          <w:spacing w:val="-1"/>
        </w:rPr>
        <w:t xml:space="preserve"> </w:t>
      </w:r>
      <w:r>
        <w:t>sont les suivants,</w:t>
      </w:r>
      <w:r>
        <w:rPr>
          <w:spacing w:val="1"/>
        </w:rPr>
        <w:t xml:space="preserve"> </w:t>
      </w:r>
      <w:r>
        <w:t>par</w:t>
      </w:r>
      <w:r>
        <w:rPr>
          <w:spacing w:val="-3"/>
        </w:rPr>
        <w:t xml:space="preserve"> </w:t>
      </w:r>
      <w:r>
        <w:t>ordre</w:t>
      </w:r>
      <w:r>
        <w:rPr>
          <w:spacing w:val="-3"/>
        </w:rPr>
        <w:t xml:space="preserve"> </w:t>
      </w:r>
      <w:r>
        <w:t>décroissant d’importance.</w:t>
      </w:r>
    </w:p>
    <w:p>
      <w:pPr>
        <w:pStyle w:val="Titre2"/>
      </w:pPr>
      <w:r>
        <w:t xml:space="preserve">Pour le jugement et le classement des offres : </w:t>
      </w:r>
    </w:p>
    <w:p>
      <w:r>
        <w:t>Conformément aux articles R. 2152-6 à R. 2152-9 du Code de la commande publique, les offres seront analysées sur la base des critères ci-après, chacun étant noté sur un total de 100 points :</w:t>
      </w:r>
    </w:p>
    <w:p/>
    <w:p>
      <w:pPr>
        <w:rPr>
          <w:b/>
        </w:rPr>
      </w:pPr>
      <w:r>
        <w:rPr>
          <w:b/>
        </w:rPr>
        <w:t>Critère n°1 – Coût global de la prestation (Note sur 50 points)</w:t>
      </w:r>
    </w:p>
    <w:p>
      <w:pPr>
        <w:rPr>
          <w:b/>
        </w:rPr>
      </w:pPr>
    </w:p>
    <w:p>
      <w:r>
        <w:t>Le critère prix sera noté à partir du montant global indiqué dans la DPGF. La notation s’effectuera selon la formule suivante :</w:t>
      </w:r>
    </w:p>
    <w:p/>
    <w:p>
      <w:pPr>
        <w:rPr>
          <w:color w:val="242424"/>
          <w:u w:val="single"/>
        </w:rPr>
      </w:pPr>
      <w:r>
        <w:rPr>
          <w:color w:val="242424"/>
          <w:u w:val="single"/>
        </w:rPr>
        <w:t>Note = (Offre la moins-disante / Offre du candidat) × 50</w:t>
      </w:r>
    </w:p>
    <w:p>
      <w:pPr>
        <w:rPr>
          <w:color w:val="242424"/>
          <w:u w:val="single"/>
        </w:rPr>
      </w:pPr>
    </w:p>
    <w:p>
      <w:pPr>
        <w:rPr>
          <w:u w:val="single"/>
        </w:rPr>
      </w:pPr>
      <w:r>
        <w:rPr>
          <w:u w:val="single"/>
        </w:rPr>
        <w:t>Traitement des offres anormalement basses :</w:t>
      </w:r>
    </w:p>
    <w:p/>
    <w:p>
      <w:r>
        <w:t>Avant notation, les offres anormalement basses seront détectées et, le cas échéant, écartées conformément aux dispositions suivantes :</w:t>
      </w:r>
    </w:p>
    <w:p/>
    <w:p>
      <w:pPr>
        <w:pStyle w:val="Paragraphedeliste"/>
        <w:numPr>
          <w:ilvl w:val="0"/>
          <w:numId w:val="32"/>
        </w:numPr>
        <w:rPr>
          <w:color w:val="242424"/>
        </w:rPr>
      </w:pPr>
      <w:r>
        <w:rPr>
          <w:color w:val="242424"/>
        </w:rPr>
        <w:t>Calcul d’une </w:t>
      </w:r>
      <w:r>
        <w:rPr>
          <w:b/>
          <w:color w:val="242424"/>
        </w:rPr>
        <w:t>moyenne M1</w:t>
      </w:r>
      <w:r>
        <w:rPr>
          <w:color w:val="242424"/>
        </w:rPr>
        <w:t> de toutes les offres jugées acceptables ;</w:t>
      </w:r>
    </w:p>
    <w:p>
      <w:pPr>
        <w:pStyle w:val="Paragraphedeliste"/>
        <w:numPr>
          <w:ilvl w:val="0"/>
          <w:numId w:val="32"/>
        </w:numPr>
        <w:rPr>
          <w:color w:val="242424"/>
        </w:rPr>
      </w:pPr>
      <w:r>
        <w:rPr>
          <w:color w:val="242424"/>
        </w:rPr>
        <w:t>Exclusion des offres se situant </w:t>
      </w:r>
      <w:r>
        <w:rPr>
          <w:b/>
          <w:color w:val="242424"/>
        </w:rPr>
        <w:t>20 % au-dessus de cette moyenne</w:t>
      </w:r>
      <w:r>
        <w:rPr>
          <w:color w:val="242424"/>
        </w:rPr>
        <w:t xml:space="preserve"> ;</w:t>
      </w:r>
    </w:p>
    <w:p>
      <w:pPr>
        <w:pStyle w:val="Paragraphedeliste"/>
        <w:numPr>
          <w:ilvl w:val="0"/>
          <w:numId w:val="32"/>
        </w:numPr>
        <w:rPr>
          <w:color w:val="242424"/>
        </w:rPr>
      </w:pPr>
      <w:r>
        <w:rPr>
          <w:color w:val="242424"/>
        </w:rPr>
        <w:t xml:space="preserve">Calcul d’une nouvelle </w:t>
      </w:r>
      <w:r>
        <w:rPr>
          <w:b/>
          <w:color w:val="242424"/>
        </w:rPr>
        <w:t>moyenne M2</w:t>
      </w:r>
      <w:r>
        <w:rPr>
          <w:color w:val="242424"/>
        </w:rPr>
        <w:t> sur les offres restantes ;</w:t>
      </w:r>
    </w:p>
    <w:p>
      <w:pPr>
        <w:pStyle w:val="Paragraphedeliste"/>
        <w:numPr>
          <w:ilvl w:val="0"/>
          <w:numId w:val="32"/>
        </w:numPr>
        <w:rPr>
          <w:color w:val="242424"/>
        </w:rPr>
      </w:pPr>
      <w:r>
        <w:rPr>
          <w:color w:val="242424"/>
        </w:rPr>
        <w:t xml:space="preserve">Identification comme potentiellement anormalement basses des offres inférieures de 15 % à cette </w:t>
      </w:r>
      <w:r>
        <w:rPr>
          <w:b/>
          <w:color w:val="242424"/>
        </w:rPr>
        <w:t>moyenne M2</w:t>
      </w:r>
      <w:r>
        <w:rPr>
          <w:color w:val="242424"/>
        </w:rPr>
        <w:t>.</w:t>
      </w:r>
    </w:p>
    <w:p>
      <w:pPr>
        <w:pStyle w:val="Paragraphedeliste"/>
        <w:numPr>
          <w:ilvl w:val="0"/>
          <w:numId w:val="32"/>
        </w:numPr>
      </w:pPr>
      <w:r>
        <w:t>Les candidats concernés seront invités à justifier leur prix dans un délai de 3 jours à compter de la demande. À défaut de justification jugée suffisante, les offres seront </w:t>
      </w:r>
      <w:r>
        <w:rPr>
          <w:b/>
        </w:rPr>
        <w:t>rejetées par</w:t>
      </w:r>
      <w:r>
        <w:t xml:space="preserve"> </w:t>
      </w:r>
      <w:r>
        <w:rPr>
          <w:b/>
        </w:rPr>
        <w:t>décision motivée</w:t>
      </w:r>
      <w:r>
        <w:t> et ne seront pas notées.</w:t>
      </w:r>
    </w:p>
    <w:p/>
    <w:p>
      <w:pPr>
        <w:rPr>
          <w:b/>
          <w:u w:val="single"/>
        </w:rPr>
      </w:pPr>
    </w:p>
    <w:p>
      <w:pPr>
        <w:rPr>
          <w:b/>
        </w:rPr>
      </w:pPr>
      <w:r>
        <w:rPr>
          <w:b/>
        </w:rPr>
        <w:t>Critère n°2 – Réponse fonctionnelle et technique (Note sur 40 points)</w:t>
      </w:r>
    </w:p>
    <w:p>
      <w:pPr>
        <w:rPr>
          <w:b/>
          <w:u w:val="single"/>
        </w:rPr>
      </w:pPr>
    </w:p>
    <w:p>
      <w:r>
        <w:t>L’analyse de la valeur technique de l’offre se fera à partir du mémoire technique fourni par le candidat, sur la base des sous-critères suivants :</w:t>
      </w:r>
    </w:p>
    <w:p>
      <w:pPr>
        <w:rPr>
          <w:b/>
          <w:u w:val="single"/>
        </w:rPr>
      </w:pPr>
    </w:p>
    <w:tbl>
      <w:tblPr>
        <w:tblStyle w:val="Grilledutableau3"/>
        <w:tblW w:w="9067" w:type="dxa"/>
        <w:tblLook w:val="04A0" w:firstRow="1" w:lastRow="0" w:firstColumn="1" w:lastColumn="0" w:noHBand="0" w:noVBand="1"/>
      </w:tblPr>
      <w:tblGrid>
        <w:gridCol w:w="7548"/>
        <w:gridCol w:w="1519"/>
      </w:tblGrid>
      <w:tr>
        <w:tc>
          <w:tcPr>
            <w:tcW w:w="0" w:type="auto"/>
            <w:hideMark/>
          </w:tcPr>
          <w:p>
            <w:pPr>
              <w:jc w:val="left"/>
              <w:textAlignment w:val="baseline"/>
              <w:rPr>
                <w:rFonts w:cs="Calibri"/>
                <w:color w:val="242424"/>
                <w:sz w:val="24"/>
              </w:rPr>
            </w:pPr>
            <w:r>
              <w:rPr>
                <w:rFonts w:cs="Calibri"/>
                <w:b/>
                <w:bCs/>
                <w:color w:val="242424"/>
                <w:sz w:val="24"/>
              </w:rPr>
              <w:t>Sous-critère</w:t>
            </w:r>
          </w:p>
        </w:tc>
        <w:tc>
          <w:tcPr>
            <w:tcW w:w="1519" w:type="dxa"/>
            <w:hideMark/>
          </w:tcPr>
          <w:p>
            <w:pPr>
              <w:jc w:val="left"/>
              <w:textAlignment w:val="baseline"/>
              <w:rPr>
                <w:rFonts w:cs="Calibri"/>
                <w:color w:val="242424"/>
                <w:sz w:val="24"/>
              </w:rPr>
            </w:pPr>
            <w:r>
              <w:rPr>
                <w:rFonts w:cs="Calibri"/>
                <w:b/>
                <w:bCs/>
                <w:color w:val="242424"/>
                <w:sz w:val="24"/>
              </w:rPr>
              <w:t>Points</w:t>
            </w:r>
          </w:p>
        </w:tc>
      </w:tr>
      <w:tr>
        <w:tc>
          <w:tcPr>
            <w:tcW w:w="0" w:type="auto"/>
            <w:hideMark/>
          </w:tcPr>
          <w:p>
            <w:pPr>
              <w:jc w:val="left"/>
              <w:textAlignment w:val="baseline"/>
              <w:rPr>
                <w:rFonts w:cs="Calibri"/>
                <w:color w:val="242424"/>
                <w:sz w:val="24"/>
              </w:rPr>
            </w:pPr>
            <w:r>
              <w:rPr>
                <w:rFonts w:cs="Calibri"/>
                <w:color w:val="242424"/>
                <w:sz w:val="24"/>
              </w:rPr>
              <w:t>Méthodologie d’intervention et procédés d’exécution envisagés</w:t>
            </w:r>
          </w:p>
        </w:tc>
        <w:tc>
          <w:tcPr>
            <w:tcW w:w="1519" w:type="dxa"/>
            <w:hideMark/>
          </w:tcPr>
          <w:p>
            <w:pPr>
              <w:jc w:val="left"/>
              <w:textAlignment w:val="baseline"/>
              <w:rPr>
                <w:rFonts w:cs="Calibri"/>
                <w:color w:val="242424"/>
                <w:sz w:val="24"/>
              </w:rPr>
            </w:pPr>
            <w:r>
              <w:rPr>
                <w:rFonts w:cs="Calibri"/>
                <w:color w:val="242424"/>
                <w:sz w:val="24"/>
              </w:rPr>
              <w:t>10 pts</w:t>
            </w:r>
          </w:p>
        </w:tc>
      </w:tr>
      <w:tr>
        <w:tc>
          <w:tcPr>
            <w:tcW w:w="0" w:type="auto"/>
            <w:hideMark/>
          </w:tcPr>
          <w:p>
            <w:pPr>
              <w:jc w:val="left"/>
              <w:textAlignment w:val="baseline"/>
              <w:rPr>
                <w:rFonts w:cs="Calibri"/>
                <w:color w:val="242424"/>
                <w:sz w:val="24"/>
              </w:rPr>
            </w:pPr>
            <w:r>
              <w:rPr>
                <w:rFonts w:cs="Calibri"/>
                <w:color w:val="242424"/>
                <w:sz w:val="24"/>
              </w:rPr>
              <w:t>Fiches techniques des produits et matériaux, provenance</w:t>
            </w:r>
          </w:p>
        </w:tc>
        <w:tc>
          <w:tcPr>
            <w:tcW w:w="1519" w:type="dxa"/>
            <w:hideMark/>
          </w:tcPr>
          <w:p>
            <w:pPr>
              <w:jc w:val="left"/>
              <w:textAlignment w:val="baseline"/>
              <w:rPr>
                <w:rFonts w:cs="Calibri"/>
                <w:color w:val="242424"/>
                <w:sz w:val="24"/>
              </w:rPr>
            </w:pPr>
            <w:r>
              <w:rPr>
                <w:rFonts w:cs="Calibri"/>
                <w:color w:val="242424"/>
                <w:sz w:val="24"/>
              </w:rPr>
              <w:t>10 pts</w:t>
            </w:r>
          </w:p>
        </w:tc>
      </w:tr>
      <w:tr>
        <w:tc>
          <w:tcPr>
            <w:tcW w:w="0" w:type="auto"/>
            <w:hideMark/>
          </w:tcPr>
          <w:p>
            <w:pPr>
              <w:jc w:val="left"/>
              <w:textAlignment w:val="baseline"/>
              <w:rPr>
                <w:rFonts w:cs="Calibri"/>
                <w:color w:val="242424"/>
                <w:sz w:val="24"/>
              </w:rPr>
            </w:pPr>
            <w:r>
              <w:rPr>
                <w:rFonts w:cs="Calibri"/>
                <w:color w:val="242424"/>
                <w:sz w:val="24"/>
              </w:rPr>
              <w:t>Moyens spécifiques dédiés à l’opération (matériels, équipes, encadrement)</w:t>
            </w:r>
          </w:p>
        </w:tc>
        <w:tc>
          <w:tcPr>
            <w:tcW w:w="1519" w:type="dxa"/>
            <w:hideMark/>
          </w:tcPr>
          <w:p>
            <w:pPr>
              <w:jc w:val="left"/>
              <w:textAlignment w:val="baseline"/>
              <w:rPr>
                <w:rFonts w:cs="Calibri"/>
                <w:color w:val="242424"/>
                <w:sz w:val="24"/>
              </w:rPr>
            </w:pPr>
            <w:r>
              <w:rPr>
                <w:rFonts w:cs="Calibri"/>
                <w:color w:val="242424"/>
                <w:sz w:val="24"/>
              </w:rPr>
              <w:t>5 pts</w:t>
            </w:r>
          </w:p>
        </w:tc>
      </w:tr>
      <w:tr>
        <w:tc>
          <w:tcPr>
            <w:tcW w:w="0" w:type="auto"/>
            <w:hideMark/>
          </w:tcPr>
          <w:p>
            <w:pPr>
              <w:jc w:val="left"/>
              <w:textAlignment w:val="baseline"/>
              <w:rPr>
                <w:rFonts w:cs="Calibri"/>
                <w:color w:val="242424"/>
                <w:sz w:val="24"/>
              </w:rPr>
            </w:pPr>
            <w:r>
              <w:rPr>
                <w:rFonts w:cs="Calibri"/>
                <w:color w:val="242424"/>
                <w:sz w:val="24"/>
              </w:rPr>
              <w:t>Mesures prévues pour signaler, clôturer, gérer et sécuriser le chantier</w:t>
            </w:r>
          </w:p>
        </w:tc>
        <w:tc>
          <w:tcPr>
            <w:tcW w:w="1519" w:type="dxa"/>
            <w:hideMark/>
          </w:tcPr>
          <w:p>
            <w:pPr>
              <w:jc w:val="left"/>
              <w:textAlignment w:val="baseline"/>
              <w:rPr>
                <w:rFonts w:cs="Calibri"/>
                <w:color w:val="242424"/>
                <w:sz w:val="24"/>
              </w:rPr>
            </w:pPr>
            <w:r>
              <w:rPr>
                <w:rFonts w:cs="Calibri"/>
                <w:color w:val="242424"/>
                <w:sz w:val="24"/>
              </w:rPr>
              <w:t>5 pts</w:t>
            </w:r>
          </w:p>
        </w:tc>
      </w:tr>
      <w:tr>
        <w:tc>
          <w:tcPr>
            <w:tcW w:w="0" w:type="auto"/>
            <w:hideMark/>
          </w:tcPr>
          <w:p>
            <w:pPr>
              <w:jc w:val="left"/>
              <w:textAlignment w:val="baseline"/>
              <w:rPr>
                <w:rFonts w:cs="Calibri"/>
                <w:color w:val="242424"/>
                <w:sz w:val="24"/>
              </w:rPr>
            </w:pPr>
            <w:r>
              <w:rPr>
                <w:rFonts w:cs="Calibri"/>
                <w:color w:val="242424"/>
                <w:sz w:val="24"/>
              </w:rPr>
              <w:t>Dispositifs d’hygiène et sécurité</w:t>
            </w:r>
          </w:p>
        </w:tc>
        <w:tc>
          <w:tcPr>
            <w:tcW w:w="1519" w:type="dxa"/>
            <w:hideMark/>
          </w:tcPr>
          <w:p>
            <w:pPr>
              <w:jc w:val="left"/>
              <w:textAlignment w:val="baseline"/>
              <w:rPr>
                <w:rFonts w:cs="Calibri"/>
                <w:color w:val="242424"/>
                <w:sz w:val="24"/>
              </w:rPr>
            </w:pPr>
            <w:r>
              <w:rPr>
                <w:rFonts w:cs="Calibri"/>
                <w:color w:val="242424"/>
                <w:sz w:val="24"/>
              </w:rPr>
              <w:t>5 pts</w:t>
            </w:r>
          </w:p>
        </w:tc>
      </w:tr>
      <w:tr>
        <w:tc>
          <w:tcPr>
            <w:tcW w:w="0" w:type="auto"/>
            <w:hideMark/>
          </w:tcPr>
          <w:p>
            <w:pPr>
              <w:jc w:val="left"/>
              <w:textAlignment w:val="baseline"/>
              <w:rPr>
                <w:rFonts w:cs="Calibri"/>
                <w:color w:val="242424"/>
                <w:sz w:val="24"/>
              </w:rPr>
            </w:pPr>
            <w:r>
              <w:rPr>
                <w:rFonts w:cs="Calibri"/>
                <w:color w:val="242424"/>
                <w:sz w:val="24"/>
              </w:rPr>
              <w:t>Mesures de réduction des nuisances (poussières, bruit, circulation…)</w:t>
            </w:r>
          </w:p>
        </w:tc>
        <w:tc>
          <w:tcPr>
            <w:tcW w:w="1519" w:type="dxa"/>
            <w:hideMark/>
          </w:tcPr>
          <w:p>
            <w:pPr>
              <w:jc w:val="left"/>
              <w:textAlignment w:val="baseline"/>
              <w:rPr>
                <w:rFonts w:cs="Calibri"/>
                <w:color w:val="242424"/>
                <w:sz w:val="24"/>
              </w:rPr>
            </w:pPr>
            <w:r>
              <w:rPr>
                <w:rFonts w:cs="Calibri"/>
                <w:color w:val="242424"/>
                <w:sz w:val="24"/>
              </w:rPr>
              <w:t>5 pts</w:t>
            </w:r>
          </w:p>
        </w:tc>
      </w:tr>
    </w:tbl>
    <w:p>
      <w:pPr>
        <w:rPr>
          <w:b/>
          <w:u w:val="single"/>
        </w:rPr>
      </w:pPr>
    </w:p>
    <w:p>
      <w:pPr>
        <w:rPr>
          <w:rFonts w:cs="Calibri"/>
          <w:color w:val="000000"/>
          <w:shd w:val="clear" w:color="auto" w:fill="FFFFFF"/>
        </w:rPr>
      </w:pPr>
      <w:r>
        <w:rPr>
          <w:rFonts w:cs="Calibri"/>
          <w:b/>
          <w:bCs/>
          <w:color w:val="000000"/>
          <w:shd w:val="clear" w:color="auto" w:fill="FFFFFF"/>
        </w:rPr>
        <w:t>Échelle de notation appliquée par sous-critère</w:t>
      </w:r>
      <w:r>
        <w:rPr>
          <w:rFonts w:cs="Calibri"/>
          <w:color w:val="000000"/>
          <w:shd w:val="clear" w:color="auto" w:fill="FFFFFF"/>
        </w:rPr>
        <w:t> : </w:t>
      </w:r>
    </w:p>
    <w:tbl>
      <w:tblPr>
        <w:tblStyle w:val="Grilledutableau3"/>
        <w:tblW w:w="0" w:type="auto"/>
        <w:tblLook w:val="04A0" w:firstRow="1" w:lastRow="0" w:firstColumn="1" w:lastColumn="0" w:noHBand="0" w:noVBand="1"/>
      </w:tblPr>
      <w:tblGrid>
        <w:gridCol w:w="5876"/>
        <w:gridCol w:w="1537"/>
        <w:gridCol w:w="1648"/>
      </w:tblGrid>
      <w:tr>
        <w:tc>
          <w:tcPr>
            <w:tcW w:w="0" w:type="auto"/>
            <w:hideMark/>
          </w:tcPr>
          <w:p>
            <w:pPr>
              <w:jc w:val="left"/>
              <w:textAlignment w:val="baseline"/>
              <w:rPr>
                <w:rFonts w:cs="Calibri"/>
                <w:color w:val="242424"/>
                <w:sz w:val="24"/>
              </w:rPr>
            </w:pPr>
            <w:r>
              <w:rPr>
                <w:rFonts w:cs="Calibri"/>
                <w:b/>
                <w:bCs/>
                <w:color w:val="242424"/>
                <w:sz w:val="24"/>
              </w:rPr>
              <w:t>Appréciation de la réponse</w:t>
            </w:r>
          </w:p>
        </w:tc>
        <w:tc>
          <w:tcPr>
            <w:tcW w:w="0" w:type="auto"/>
            <w:hideMark/>
          </w:tcPr>
          <w:p>
            <w:pPr>
              <w:jc w:val="left"/>
              <w:textAlignment w:val="baseline"/>
              <w:rPr>
                <w:rFonts w:cs="Calibri"/>
                <w:color w:val="242424"/>
                <w:sz w:val="24"/>
              </w:rPr>
            </w:pPr>
            <w:r>
              <w:rPr>
                <w:rFonts w:cs="Calibri"/>
                <w:b/>
                <w:bCs/>
                <w:color w:val="242424"/>
                <w:sz w:val="24"/>
              </w:rPr>
              <w:t>Note sur 5 pts</w:t>
            </w:r>
          </w:p>
        </w:tc>
        <w:tc>
          <w:tcPr>
            <w:tcW w:w="1648" w:type="dxa"/>
            <w:hideMark/>
          </w:tcPr>
          <w:p>
            <w:pPr>
              <w:jc w:val="left"/>
              <w:textAlignment w:val="baseline"/>
              <w:rPr>
                <w:rFonts w:cs="Calibri"/>
                <w:color w:val="242424"/>
                <w:sz w:val="24"/>
              </w:rPr>
            </w:pPr>
            <w:r>
              <w:rPr>
                <w:rFonts w:cs="Calibri"/>
                <w:b/>
                <w:bCs/>
                <w:color w:val="242424"/>
                <w:sz w:val="24"/>
              </w:rPr>
              <w:t>Note sur 10 pts</w:t>
            </w:r>
          </w:p>
        </w:tc>
      </w:tr>
      <w:tr>
        <w:tc>
          <w:tcPr>
            <w:tcW w:w="0" w:type="auto"/>
            <w:hideMark/>
          </w:tcPr>
          <w:p>
            <w:pPr>
              <w:jc w:val="left"/>
              <w:textAlignment w:val="baseline"/>
              <w:rPr>
                <w:rFonts w:cs="Calibri"/>
                <w:color w:val="242424"/>
                <w:sz w:val="24"/>
              </w:rPr>
            </w:pPr>
            <w:r>
              <w:rPr>
                <w:rFonts w:cs="Calibri"/>
                <w:color w:val="242424"/>
                <w:sz w:val="24"/>
              </w:rPr>
              <w:t>Aucune réponse ou hors sujet</w:t>
            </w:r>
          </w:p>
        </w:tc>
        <w:tc>
          <w:tcPr>
            <w:tcW w:w="0" w:type="auto"/>
            <w:hideMark/>
          </w:tcPr>
          <w:p>
            <w:pPr>
              <w:jc w:val="left"/>
              <w:textAlignment w:val="baseline"/>
              <w:rPr>
                <w:rFonts w:cs="Calibri"/>
                <w:color w:val="242424"/>
                <w:sz w:val="24"/>
              </w:rPr>
            </w:pPr>
            <w:r>
              <w:rPr>
                <w:rFonts w:cs="Calibri"/>
                <w:color w:val="242424"/>
                <w:sz w:val="24"/>
              </w:rPr>
              <w:t>0</w:t>
            </w:r>
          </w:p>
        </w:tc>
        <w:tc>
          <w:tcPr>
            <w:tcW w:w="1648" w:type="dxa"/>
            <w:hideMark/>
          </w:tcPr>
          <w:p>
            <w:pPr>
              <w:jc w:val="left"/>
              <w:textAlignment w:val="baseline"/>
              <w:rPr>
                <w:rFonts w:cs="Calibri"/>
                <w:color w:val="242424"/>
                <w:sz w:val="24"/>
              </w:rPr>
            </w:pPr>
            <w:r>
              <w:rPr>
                <w:rFonts w:cs="Calibri"/>
                <w:color w:val="242424"/>
                <w:sz w:val="24"/>
              </w:rPr>
              <w:t>0</w:t>
            </w:r>
          </w:p>
        </w:tc>
      </w:tr>
      <w:tr>
        <w:tc>
          <w:tcPr>
            <w:tcW w:w="0" w:type="auto"/>
            <w:hideMark/>
          </w:tcPr>
          <w:p>
            <w:pPr>
              <w:jc w:val="left"/>
              <w:textAlignment w:val="baseline"/>
              <w:rPr>
                <w:rFonts w:cs="Calibri"/>
                <w:color w:val="242424"/>
                <w:sz w:val="24"/>
              </w:rPr>
            </w:pPr>
            <w:r>
              <w:rPr>
                <w:rFonts w:cs="Calibri"/>
                <w:color w:val="242424"/>
                <w:sz w:val="24"/>
              </w:rPr>
              <w:t>Très insuffisant, très peu développé</w:t>
            </w:r>
          </w:p>
        </w:tc>
        <w:tc>
          <w:tcPr>
            <w:tcW w:w="0" w:type="auto"/>
            <w:hideMark/>
          </w:tcPr>
          <w:p>
            <w:pPr>
              <w:jc w:val="left"/>
              <w:textAlignment w:val="baseline"/>
              <w:rPr>
                <w:rFonts w:cs="Calibri"/>
                <w:color w:val="242424"/>
                <w:sz w:val="24"/>
              </w:rPr>
            </w:pPr>
            <w:r>
              <w:rPr>
                <w:rFonts w:cs="Calibri"/>
                <w:color w:val="242424"/>
                <w:sz w:val="24"/>
              </w:rPr>
              <w:t>1</w:t>
            </w:r>
          </w:p>
        </w:tc>
        <w:tc>
          <w:tcPr>
            <w:tcW w:w="1648" w:type="dxa"/>
            <w:hideMark/>
          </w:tcPr>
          <w:p>
            <w:pPr>
              <w:jc w:val="left"/>
              <w:textAlignment w:val="baseline"/>
              <w:rPr>
                <w:rFonts w:cs="Calibri"/>
                <w:color w:val="242424"/>
                <w:sz w:val="24"/>
              </w:rPr>
            </w:pPr>
            <w:r>
              <w:rPr>
                <w:rFonts w:cs="Calibri"/>
                <w:color w:val="242424"/>
                <w:sz w:val="24"/>
              </w:rPr>
              <w:t>1 à 2</w:t>
            </w:r>
          </w:p>
        </w:tc>
      </w:tr>
      <w:tr>
        <w:tc>
          <w:tcPr>
            <w:tcW w:w="0" w:type="auto"/>
            <w:hideMark/>
          </w:tcPr>
          <w:p>
            <w:pPr>
              <w:jc w:val="left"/>
              <w:textAlignment w:val="baseline"/>
              <w:rPr>
                <w:rFonts w:cs="Calibri"/>
                <w:color w:val="242424"/>
                <w:sz w:val="24"/>
              </w:rPr>
            </w:pPr>
            <w:r>
              <w:rPr>
                <w:rFonts w:cs="Calibri"/>
                <w:color w:val="242424"/>
                <w:sz w:val="24"/>
              </w:rPr>
              <w:t>Insuffisant, réponse générique ou non contextualisée</w:t>
            </w:r>
          </w:p>
        </w:tc>
        <w:tc>
          <w:tcPr>
            <w:tcW w:w="0" w:type="auto"/>
            <w:hideMark/>
          </w:tcPr>
          <w:p>
            <w:pPr>
              <w:jc w:val="left"/>
              <w:textAlignment w:val="baseline"/>
              <w:rPr>
                <w:rFonts w:cs="Calibri"/>
                <w:color w:val="242424"/>
                <w:sz w:val="24"/>
              </w:rPr>
            </w:pPr>
            <w:r>
              <w:rPr>
                <w:rFonts w:cs="Calibri"/>
                <w:color w:val="242424"/>
                <w:sz w:val="24"/>
              </w:rPr>
              <w:t>2</w:t>
            </w:r>
          </w:p>
        </w:tc>
        <w:tc>
          <w:tcPr>
            <w:tcW w:w="1648" w:type="dxa"/>
            <w:hideMark/>
          </w:tcPr>
          <w:p>
            <w:pPr>
              <w:jc w:val="left"/>
              <w:textAlignment w:val="baseline"/>
              <w:rPr>
                <w:rFonts w:cs="Calibri"/>
                <w:color w:val="242424"/>
                <w:sz w:val="24"/>
              </w:rPr>
            </w:pPr>
            <w:r>
              <w:rPr>
                <w:rFonts w:cs="Calibri"/>
                <w:color w:val="242424"/>
                <w:sz w:val="24"/>
              </w:rPr>
              <w:t>2 à 4</w:t>
            </w:r>
          </w:p>
        </w:tc>
      </w:tr>
      <w:tr>
        <w:tc>
          <w:tcPr>
            <w:tcW w:w="0" w:type="auto"/>
            <w:hideMark/>
          </w:tcPr>
          <w:p>
            <w:pPr>
              <w:jc w:val="left"/>
              <w:textAlignment w:val="baseline"/>
              <w:rPr>
                <w:rFonts w:cs="Calibri"/>
                <w:color w:val="242424"/>
                <w:sz w:val="24"/>
              </w:rPr>
            </w:pPr>
            <w:r>
              <w:rPr>
                <w:rFonts w:cs="Calibri"/>
                <w:color w:val="242424"/>
                <w:sz w:val="24"/>
              </w:rPr>
              <w:t>Moyen, partiellement adapté, peu détaillé</w:t>
            </w:r>
          </w:p>
        </w:tc>
        <w:tc>
          <w:tcPr>
            <w:tcW w:w="0" w:type="auto"/>
            <w:hideMark/>
          </w:tcPr>
          <w:p>
            <w:pPr>
              <w:jc w:val="left"/>
              <w:textAlignment w:val="baseline"/>
              <w:rPr>
                <w:rFonts w:cs="Calibri"/>
                <w:color w:val="242424"/>
                <w:sz w:val="24"/>
              </w:rPr>
            </w:pPr>
            <w:r>
              <w:rPr>
                <w:rFonts w:cs="Calibri"/>
                <w:color w:val="242424"/>
                <w:sz w:val="24"/>
              </w:rPr>
              <w:t>3</w:t>
            </w:r>
          </w:p>
        </w:tc>
        <w:tc>
          <w:tcPr>
            <w:tcW w:w="1648" w:type="dxa"/>
            <w:hideMark/>
          </w:tcPr>
          <w:p>
            <w:pPr>
              <w:jc w:val="left"/>
              <w:textAlignment w:val="baseline"/>
              <w:rPr>
                <w:rFonts w:cs="Calibri"/>
                <w:color w:val="242424"/>
                <w:sz w:val="24"/>
              </w:rPr>
            </w:pPr>
            <w:r>
              <w:rPr>
                <w:rFonts w:cs="Calibri"/>
                <w:color w:val="242424"/>
                <w:sz w:val="24"/>
              </w:rPr>
              <w:t>4 à 6</w:t>
            </w:r>
          </w:p>
        </w:tc>
      </w:tr>
      <w:tr>
        <w:tc>
          <w:tcPr>
            <w:tcW w:w="0" w:type="auto"/>
            <w:hideMark/>
          </w:tcPr>
          <w:p>
            <w:pPr>
              <w:jc w:val="left"/>
              <w:textAlignment w:val="baseline"/>
              <w:rPr>
                <w:rFonts w:cs="Calibri"/>
                <w:color w:val="242424"/>
                <w:sz w:val="24"/>
              </w:rPr>
            </w:pPr>
            <w:r>
              <w:rPr>
                <w:rFonts w:cs="Calibri"/>
                <w:color w:val="242424"/>
                <w:sz w:val="24"/>
              </w:rPr>
              <w:t>Bon, réponse adaptée, cohérente avec le besoin exprimé</w:t>
            </w:r>
          </w:p>
        </w:tc>
        <w:tc>
          <w:tcPr>
            <w:tcW w:w="0" w:type="auto"/>
            <w:hideMark/>
          </w:tcPr>
          <w:p>
            <w:pPr>
              <w:jc w:val="left"/>
              <w:textAlignment w:val="baseline"/>
              <w:rPr>
                <w:rFonts w:cs="Calibri"/>
                <w:color w:val="242424"/>
                <w:sz w:val="24"/>
              </w:rPr>
            </w:pPr>
            <w:r>
              <w:rPr>
                <w:rFonts w:cs="Calibri"/>
                <w:color w:val="242424"/>
                <w:sz w:val="24"/>
              </w:rPr>
              <w:t>4</w:t>
            </w:r>
          </w:p>
        </w:tc>
        <w:tc>
          <w:tcPr>
            <w:tcW w:w="1648" w:type="dxa"/>
            <w:hideMark/>
          </w:tcPr>
          <w:p>
            <w:pPr>
              <w:jc w:val="left"/>
              <w:textAlignment w:val="baseline"/>
              <w:rPr>
                <w:rFonts w:cs="Calibri"/>
                <w:color w:val="242424"/>
                <w:sz w:val="24"/>
              </w:rPr>
            </w:pPr>
            <w:r>
              <w:rPr>
                <w:rFonts w:cs="Calibri"/>
                <w:color w:val="242424"/>
                <w:sz w:val="24"/>
              </w:rPr>
              <w:t>6 à 8</w:t>
            </w:r>
          </w:p>
        </w:tc>
      </w:tr>
      <w:tr>
        <w:tc>
          <w:tcPr>
            <w:tcW w:w="0" w:type="auto"/>
            <w:hideMark/>
          </w:tcPr>
          <w:p>
            <w:pPr>
              <w:jc w:val="left"/>
              <w:textAlignment w:val="baseline"/>
              <w:rPr>
                <w:rFonts w:cs="Calibri"/>
                <w:color w:val="242424"/>
                <w:sz w:val="24"/>
              </w:rPr>
            </w:pPr>
            <w:r>
              <w:rPr>
                <w:rFonts w:cs="Calibri"/>
                <w:color w:val="242424"/>
                <w:sz w:val="24"/>
              </w:rPr>
              <w:t>Très bon, réponse approfondie, au-delà des attendus du CCTP</w:t>
            </w:r>
          </w:p>
        </w:tc>
        <w:tc>
          <w:tcPr>
            <w:tcW w:w="0" w:type="auto"/>
            <w:hideMark/>
          </w:tcPr>
          <w:p>
            <w:pPr>
              <w:jc w:val="left"/>
              <w:textAlignment w:val="baseline"/>
              <w:rPr>
                <w:rFonts w:cs="Calibri"/>
                <w:color w:val="242424"/>
                <w:sz w:val="24"/>
              </w:rPr>
            </w:pPr>
            <w:r>
              <w:rPr>
                <w:rFonts w:cs="Calibri"/>
                <w:color w:val="242424"/>
                <w:sz w:val="24"/>
              </w:rPr>
              <w:t>5</w:t>
            </w:r>
          </w:p>
        </w:tc>
        <w:tc>
          <w:tcPr>
            <w:tcW w:w="1648" w:type="dxa"/>
            <w:hideMark/>
          </w:tcPr>
          <w:p>
            <w:pPr>
              <w:jc w:val="left"/>
              <w:textAlignment w:val="baseline"/>
              <w:rPr>
                <w:rFonts w:cs="Calibri"/>
                <w:color w:val="242424"/>
                <w:sz w:val="24"/>
              </w:rPr>
            </w:pPr>
            <w:r>
              <w:rPr>
                <w:rFonts w:cs="Calibri"/>
                <w:color w:val="242424"/>
                <w:sz w:val="24"/>
              </w:rPr>
              <w:t>8 à 10</w:t>
            </w:r>
          </w:p>
        </w:tc>
      </w:tr>
    </w:tbl>
    <w:p>
      <w:pPr>
        <w:rPr>
          <w:b/>
          <w:u w:val="single"/>
        </w:rPr>
      </w:pPr>
    </w:p>
    <w:p>
      <w:pPr>
        <w:rPr>
          <w:b/>
          <w:u w:val="single"/>
        </w:rPr>
      </w:pPr>
    </w:p>
    <w:p>
      <w:pPr>
        <w:rPr>
          <w:b/>
          <w:u w:val="single"/>
        </w:rPr>
      </w:pPr>
    </w:p>
    <w:p>
      <w:pPr>
        <w:rPr>
          <w:b/>
          <w:u w:val="single"/>
        </w:rPr>
      </w:pPr>
    </w:p>
    <w:p>
      <w:pPr>
        <w:shd w:val="clear" w:color="auto" w:fill="FFFFFF"/>
        <w:jc w:val="left"/>
        <w:textAlignment w:val="baseline"/>
        <w:rPr>
          <w:rFonts w:cs="Calibri"/>
          <w:b/>
          <w:bCs/>
          <w:sz w:val="24"/>
        </w:rPr>
      </w:pPr>
      <w:r>
        <w:rPr>
          <w:rFonts w:cs="Calibri"/>
          <w:b/>
          <w:bCs/>
          <w:sz w:val="24"/>
        </w:rPr>
        <w:t>Critère n°3 – Délai global de réalisation des travaux (Note sur 10 points)</w:t>
      </w:r>
    </w:p>
    <w:p>
      <w:pPr>
        <w:shd w:val="clear" w:color="auto" w:fill="FFFFFF"/>
        <w:jc w:val="left"/>
        <w:textAlignment w:val="baseline"/>
        <w:rPr>
          <w:rFonts w:cs="Calibri"/>
          <w:sz w:val="24"/>
        </w:rPr>
      </w:pPr>
    </w:p>
    <w:p>
      <w:pPr>
        <w:shd w:val="clear" w:color="auto" w:fill="FFFFFF"/>
        <w:jc w:val="left"/>
        <w:textAlignment w:val="baseline"/>
        <w:rPr>
          <w:rFonts w:cs="Calibri"/>
          <w:sz w:val="24"/>
        </w:rPr>
      </w:pPr>
      <w:r>
        <w:rPr>
          <w:rFonts w:cs="Calibri"/>
          <w:sz w:val="24"/>
        </w:rPr>
        <w:t>Ce critère sera apprécié à partir du </w:t>
      </w:r>
      <w:r>
        <w:rPr>
          <w:rFonts w:cs="Calibri"/>
          <w:b/>
          <w:bCs/>
          <w:sz w:val="24"/>
        </w:rPr>
        <w:t>planning prévisionnel global</w:t>
      </w:r>
      <w:r>
        <w:rPr>
          <w:rFonts w:cs="Calibri"/>
          <w:sz w:val="24"/>
        </w:rPr>
        <w:t> proposé, à compter de la date de notification de l’ordre de service jusqu’à la réception des travaux.</w:t>
      </w:r>
    </w:p>
    <w:p>
      <w:pPr>
        <w:numPr>
          <w:ilvl w:val="0"/>
          <w:numId w:val="33"/>
        </w:numPr>
        <w:shd w:val="clear" w:color="auto" w:fill="FFFFFF"/>
        <w:spacing w:before="100" w:beforeAutospacing="1" w:after="100" w:afterAutospacing="1"/>
        <w:jc w:val="left"/>
        <w:textAlignment w:val="baseline"/>
        <w:rPr>
          <w:rFonts w:cs="Calibri"/>
          <w:color w:val="242424"/>
          <w:sz w:val="24"/>
        </w:rPr>
      </w:pPr>
      <w:r>
        <w:rPr>
          <w:rFonts w:cs="Calibri"/>
          <w:color w:val="242424"/>
          <w:sz w:val="24"/>
        </w:rPr>
        <w:t>Le candidat présentant le </w:t>
      </w:r>
      <w:r>
        <w:rPr>
          <w:rFonts w:cs="Calibri"/>
          <w:b/>
          <w:bCs/>
          <w:color w:val="242424"/>
          <w:sz w:val="24"/>
        </w:rPr>
        <w:t>délai d’exécution le plus court</w:t>
      </w:r>
      <w:r>
        <w:rPr>
          <w:rFonts w:cs="Calibri"/>
          <w:color w:val="242424"/>
          <w:sz w:val="24"/>
        </w:rPr>
        <w:t> obtiendra la </w:t>
      </w:r>
      <w:r>
        <w:rPr>
          <w:rFonts w:cs="Calibri"/>
          <w:b/>
          <w:bCs/>
          <w:color w:val="242424"/>
          <w:sz w:val="24"/>
        </w:rPr>
        <w:t>note maximale de 10 points</w:t>
      </w:r>
      <w:r>
        <w:rPr>
          <w:rFonts w:cs="Calibri"/>
          <w:color w:val="242424"/>
          <w:sz w:val="24"/>
        </w:rPr>
        <w:t>.</w:t>
      </w:r>
    </w:p>
    <w:p>
      <w:pPr>
        <w:numPr>
          <w:ilvl w:val="0"/>
          <w:numId w:val="33"/>
        </w:numPr>
        <w:shd w:val="clear" w:color="auto" w:fill="FFFFFF"/>
        <w:spacing w:before="100" w:beforeAutospacing="1" w:after="100" w:afterAutospacing="1"/>
        <w:jc w:val="left"/>
        <w:textAlignment w:val="baseline"/>
        <w:rPr>
          <w:rFonts w:cs="Calibri"/>
          <w:color w:val="242424"/>
          <w:sz w:val="24"/>
        </w:rPr>
      </w:pPr>
      <w:r>
        <w:rPr>
          <w:rFonts w:cs="Calibri"/>
          <w:color w:val="242424"/>
          <w:sz w:val="24"/>
        </w:rPr>
        <w:t>Les autres offres seront classées par ordre décroissant d’optimisation du délai, en retranchant </w:t>
      </w:r>
      <w:r>
        <w:rPr>
          <w:rFonts w:cs="Calibri"/>
          <w:b/>
          <w:bCs/>
          <w:color w:val="242424"/>
          <w:sz w:val="24"/>
        </w:rPr>
        <w:t>2 points</w:t>
      </w:r>
      <w:r>
        <w:rPr>
          <w:rFonts w:cs="Calibri"/>
          <w:color w:val="242424"/>
          <w:sz w:val="24"/>
        </w:rPr>
        <w:t> par rang de classement inférieur.</w:t>
      </w:r>
    </w:p>
    <w:p>
      <w:pPr>
        <w:shd w:val="clear" w:color="auto" w:fill="FFFFFF"/>
        <w:jc w:val="left"/>
        <w:textAlignment w:val="baseline"/>
        <w:rPr>
          <w:rFonts w:cs="Calibri"/>
          <w:b/>
          <w:bCs/>
          <w:sz w:val="24"/>
        </w:rPr>
      </w:pPr>
    </w:p>
    <w:p>
      <w:pPr>
        <w:shd w:val="clear" w:color="auto" w:fill="FFFFFF"/>
        <w:jc w:val="left"/>
        <w:textAlignment w:val="baseline"/>
        <w:rPr>
          <w:rFonts w:cs="Calibri"/>
          <w:b/>
          <w:bCs/>
          <w:sz w:val="24"/>
        </w:rPr>
      </w:pPr>
      <w:r>
        <w:rPr>
          <w:rFonts w:cs="Calibri"/>
          <w:b/>
          <w:bCs/>
          <w:sz w:val="24"/>
        </w:rPr>
        <w:t>Attribution du marché</w:t>
      </w:r>
    </w:p>
    <w:p>
      <w:pPr>
        <w:shd w:val="clear" w:color="auto" w:fill="FFFFFF"/>
        <w:jc w:val="left"/>
        <w:textAlignment w:val="baseline"/>
        <w:rPr>
          <w:rFonts w:cs="Calibri"/>
          <w:b/>
          <w:bCs/>
          <w:sz w:val="24"/>
        </w:rPr>
      </w:pPr>
    </w:p>
    <w:p>
      <w:pPr>
        <w:shd w:val="clear" w:color="auto" w:fill="FFFFFF"/>
        <w:jc w:val="left"/>
        <w:textAlignment w:val="baseline"/>
        <w:rPr>
          <w:rFonts w:cs="Calibri"/>
          <w:sz w:val="24"/>
        </w:rPr>
      </w:pPr>
      <w:r>
        <w:rPr>
          <w:rFonts w:cs="Calibri"/>
          <w:sz w:val="24"/>
        </w:rPr>
        <w:t>La note finale de chaque candidat sera obtenue par addition des points obtenus sur les trois critères. Le marché sera attribué à l’offre économiquement la plus avantageuse, soit celle ayant obtenu le </w:t>
      </w:r>
      <w:r>
        <w:rPr>
          <w:rFonts w:cs="Calibri"/>
          <w:b/>
          <w:bCs/>
          <w:sz w:val="24"/>
        </w:rPr>
        <w:t>score total le plus élevé sur 100 points</w:t>
      </w:r>
      <w:r>
        <w:rPr>
          <w:rFonts w:cs="Calibri"/>
          <w:sz w:val="24"/>
        </w:rPr>
        <w:t>.</w:t>
      </w:r>
    </w:p>
    <w:p>
      <w:pPr>
        <w:rPr>
          <w:b/>
          <w:u w:val="single"/>
        </w:rPr>
      </w:pPr>
    </w:p>
    <w:p>
      <w:pPr>
        <w:pStyle w:val="Titre1"/>
        <w:rPr>
          <w:sz w:val="17"/>
        </w:rPr>
      </w:pPr>
      <w:bookmarkStart w:id="76" w:name="_Toc22717803"/>
      <w:bookmarkStart w:id="77" w:name="_Toc205212185"/>
      <w:r>
        <w:t>DELAI</w:t>
      </w:r>
      <w:r>
        <w:rPr>
          <w:spacing w:val="-2"/>
        </w:rPr>
        <w:t xml:space="preserve"> </w:t>
      </w:r>
      <w:r>
        <w:t>DE</w:t>
      </w:r>
      <w:r>
        <w:rPr>
          <w:spacing w:val="-3"/>
        </w:rPr>
        <w:t xml:space="preserve"> </w:t>
      </w:r>
      <w:r>
        <w:t>VALIDITE</w:t>
      </w:r>
      <w:r>
        <w:rPr>
          <w:spacing w:val="-6"/>
        </w:rPr>
        <w:t xml:space="preserve"> </w:t>
      </w:r>
      <w:r>
        <w:t>DES</w:t>
      </w:r>
      <w:r>
        <w:rPr>
          <w:spacing w:val="-8"/>
        </w:rPr>
        <w:t xml:space="preserve"> </w:t>
      </w:r>
      <w:r>
        <w:rPr>
          <w:spacing w:val="-2"/>
        </w:rPr>
        <w:t>OFFRES</w:t>
      </w:r>
      <w:bookmarkEnd w:id="77"/>
      <w:r>
        <w:rPr>
          <w:noProof/>
        </w:rPr>
        <w:t xml:space="preserve"> </w:t>
      </w:r>
    </w:p>
    <w:p>
      <w:r>
        <w:t>Le</w:t>
      </w:r>
      <w:r>
        <w:rPr>
          <w:spacing w:val="-1"/>
        </w:rPr>
        <w:t xml:space="preserve"> </w:t>
      </w:r>
      <w:r>
        <w:t>délai</w:t>
      </w:r>
      <w:r>
        <w:rPr>
          <w:spacing w:val="-4"/>
        </w:rPr>
        <w:t xml:space="preserve"> </w:t>
      </w:r>
      <w:r>
        <w:t>de</w:t>
      </w:r>
      <w:r>
        <w:rPr>
          <w:spacing w:val="-3"/>
        </w:rPr>
        <w:t xml:space="preserve"> </w:t>
      </w:r>
      <w:r>
        <w:t>validité</w:t>
      </w:r>
      <w:r>
        <w:rPr>
          <w:spacing w:val="-1"/>
        </w:rPr>
        <w:t xml:space="preserve"> </w:t>
      </w:r>
      <w:r>
        <w:t>des</w:t>
      </w:r>
      <w:r>
        <w:rPr>
          <w:spacing w:val="-3"/>
        </w:rPr>
        <w:t xml:space="preserve"> </w:t>
      </w:r>
      <w:r>
        <w:t>offres proposées pour</w:t>
      </w:r>
      <w:r>
        <w:rPr>
          <w:spacing w:val="-1"/>
        </w:rPr>
        <w:t xml:space="preserve"> </w:t>
      </w:r>
      <w:r>
        <w:t>l’accord-cadre</w:t>
      </w:r>
      <w:r>
        <w:rPr>
          <w:spacing w:val="-1"/>
        </w:rPr>
        <w:t xml:space="preserve"> </w:t>
      </w:r>
      <w:r>
        <w:t>est</w:t>
      </w:r>
      <w:r>
        <w:rPr>
          <w:spacing w:val="-1"/>
        </w:rPr>
        <w:t xml:space="preserve"> </w:t>
      </w:r>
      <w:r>
        <w:t>de</w:t>
      </w:r>
      <w:r>
        <w:rPr>
          <w:spacing w:val="-3"/>
        </w:rPr>
        <w:t xml:space="preserve"> </w:t>
      </w:r>
      <w:r>
        <w:t>6</w:t>
      </w:r>
      <w:r>
        <w:rPr>
          <w:spacing w:val="-3"/>
        </w:rPr>
        <w:t xml:space="preserve"> </w:t>
      </w:r>
      <w:r>
        <w:t>mois</w:t>
      </w:r>
      <w:r>
        <w:rPr>
          <w:spacing w:val="-1"/>
        </w:rPr>
        <w:t xml:space="preserve"> </w:t>
      </w:r>
      <w:r>
        <w:t>à</w:t>
      </w:r>
      <w:r>
        <w:rPr>
          <w:spacing w:val="-3"/>
        </w:rPr>
        <w:t xml:space="preserve"> </w:t>
      </w:r>
      <w:r>
        <w:t>compter</w:t>
      </w:r>
      <w:r>
        <w:rPr>
          <w:spacing w:val="-1"/>
        </w:rPr>
        <w:t xml:space="preserve"> </w:t>
      </w:r>
      <w:r>
        <w:t>de</w:t>
      </w:r>
      <w:r>
        <w:rPr>
          <w:spacing w:val="-1"/>
        </w:rPr>
        <w:t xml:space="preserve"> </w:t>
      </w:r>
      <w:r>
        <w:t>la date limite fixée pour la remise des offres du présent accord-cadre.</w:t>
      </w:r>
    </w:p>
    <w:p>
      <w:pPr>
        <w:pStyle w:val="Titre1"/>
      </w:pPr>
      <w:bookmarkStart w:id="78" w:name="_Toc205212186"/>
      <w:r>
        <w:t>PIECES</w:t>
      </w:r>
      <w:r>
        <w:rPr>
          <w:spacing w:val="-9"/>
        </w:rPr>
        <w:t xml:space="preserve"> </w:t>
      </w:r>
      <w:r>
        <w:t>A</w:t>
      </w:r>
      <w:r>
        <w:rPr>
          <w:spacing w:val="-4"/>
        </w:rPr>
        <w:t xml:space="preserve"> </w:t>
      </w:r>
      <w:r>
        <w:t>FOURNIR</w:t>
      </w:r>
      <w:r>
        <w:rPr>
          <w:spacing w:val="-8"/>
        </w:rPr>
        <w:t xml:space="preserve"> </w:t>
      </w:r>
      <w:r>
        <w:t>PAR</w:t>
      </w:r>
      <w:r>
        <w:rPr>
          <w:spacing w:val="-4"/>
        </w:rPr>
        <w:t xml:space="preserve"> </w:t>
      </w:r>
      <w:r>
        <w:rPr>
          <w:spacing w:val="-2"/>
        </w:rPr>
        <w:t>L’ATTRIBUTAIRE</w:t>
      </w:r>
      <w:bookmarkEnd w:id="78"/>
    </w:p>
    <w:p>
      <w:pPr>
        <w:pStyle w:val="Corpsdetexte"/>
        <w:spacing w:before="225"/>
        <w:ind w:right="567"/>
      </w:pPr>
      <w:r>
        <w:t>Seul</w:t>
      </w:r>
      <w:r>
        <w:rPr>
          <w:spacing w:val="-2"/>
        </w:rPr>
        <w:t>s les candidats retenus</w:t>
      </w:r>
      <w:r>
        <w:rPr>
          <w:spacing w:val="-4"/>
        </w:rPr>
        <w:t xml:space="preserve"> </w:t>
      </w:r>
      <w:r>
        <w:t>au</w:t>
      </w:r>
      <w:r>
        <w:rPr>
          <w:spacing w:val="-2"/>
        </w:rPr>
        <w:t xml:space="preserve"> </w:t>
      </w:r>
      <w:r>
        <w:t>terme</w:t>
      </w:r>
      <w:r>
        <w:rPr>
          <w:spacing w:val="-2"/>
        </w:rPr>
        <w:t xml:space="preserve"> </w:t>
      </w:r>
      <w:r>
        <w:t>du</w:t>
      </w:r>
      <w:r>
        <w:rPr>
          <w:spacing w:val="-3"/>
        </w:rPr>
        <w:t xml:space="preserve"> </w:t>
      </w:r>
      <w:r>
        <w:t>classement</w:t>
      </w:r>
      <w:r>
        <w:rPr>
          <w:spacing w:val="-2"/>
        </w:rPr>
        <w:t xml:space="preserve"> </w:t>
      </w:r>
      <w:r>
        <w:t>des</w:t>
      </w:r>
      <w:r>
        <w:rPr>
          <w:spacing w:val="-4"/>
        </w:rPr>
        <w:t xml:space="preserve"> </w:t>
      </w:r>
      <w:r>
        <w:t>offres</w:t>
      </w:r>
      <w:r>
        <w:rPr>
          <w:spacing w:val="-2"/>
        </w:rPr>
        <w:t xml:space="preserve"> </w:t>
      </w:r>
      <w:r>
        <w:t>doivent</w:t>
      </w:r>
      <w:r>
        <w:rPr>
          <w:spacing w:val="-2"/>
        </w:rPr>
        <w:t xml:space="preserve"> </w:t>
      </w:r>
      <w:r>
        <w:t>produire</w:t>
      </w:r>
      <w:r>
        <w:rPr>
          <w:spacing w:val="-2"/>
        </w:rPr>
        <w:t xml:space="preserve"> </w:t>
      </w:r>
      <w:r>
        <w:t>les</w:t>
      </w:r>
      <w:r>
        <w:rPr>
          <w:spacing w:val="-2"/>
        </w:rPr>
        <w:t xml:space="preserve"> </w:t>
      </w:r>
      <w:r>
        <w:t>pièces</w:t>
      </w:r>
      <w:r>
        <w:rPr>
          <w:spacing w:val="-1"/>
        </w:rPr>
        <w:t xml:space="preserve"> </w:t>
      </w:r>
      <w:r>
        <w:t>prévues aux articles L2141-1 à L2141-6 du code de la commande publique.</w:t>
      </w:r>
    </w:p>
    <w:p>
      <w:pPr>
        <w:pStyle w:val="Corpsdetexte"/>
        <w:spacing w:before="37"/>
        <w:ind w:right="876"/>
        <w:rPr>
          <w:spacing w:val="-2"/>
        </w:rPr>
      </w:pPr>
      <w:r>
        <w:t>En</w:t>
      </w:r>
      <w:r>
        <w:rPr>
          <w:spacing w:val="-1"/>
        </w:rPr>
        <w:t xml:space="preserve"> </w:t>
      </w:r>
      <w:r>
        <w:t>signant l’acte d’engagement,</w:t>
      </w:r>
      <w:r>
        <w:rPr>
          <w:spacing w:val="-3"/>
        </w:rPr>
        <w:t xml:space="preserve"> </w:t>
      </w:r>
      <w:r>
        <w:t>le</w:t>
      </w:r>
      <w:r>
        <w:rPr>
          <w:spacing w:val="-3"/>
        </w:rPr>
        <w:t xml:space="preserve"> </w:t>
      </w:r>
      <w:r>
        <w:t>candidat</w:t>
      </w:r>
      <w:r>
        <w:rPr>
          <w:spacing w:val="-3"/>
        </w:rPr>
        <w:t xml:space="preserve"> </w:t>
      </w:r>
      <w:r>
        <w:t>consent</w:t>
      </w:r>
      <w:r>
        <w:rPr>
          <w:spacing w:val="-3"/>
        </w:rPr>
        <w:t xml:space="preserve"> </w:t>
      </w:r>
      <w:r>
        <w:t>formellement</w:t>
      </w:r>
      <w:r>
        <w:rPr>
          <w:spacing w:val="-3"/>
        </w:rPr>
        <w:t xml:space="preserve"> </w:t>
      </w:r>
      <w:r>
        <w:t>aux</w:t>
      </w:r>
      <w:r>
        <w:rPr>
          <w:spacing w:val="-3"/>
        </w:rPr>
        <w:t xml:space="preserve"> </w:t>
      </w:r>
      <w:r>
        <w:t>clauses</w:t>
      </w:r>
      <w:r>
        <w:rPr>
          <w:spacing w:val="-3"/>
        </w:rPr>
        <w:t xml:space="preserve"> </w:t>
      </w:r>
      <w:r>
        <w:t>du</w:t>
      </w:r>
      <w:r>
        <w:rPr>
          <w:spacing w:val="-1"/>
        </w:rPr>
        <w:t xml:space="preserve"> </w:t>
      </w:r>
      <w:r>
        <w:t xml:space="preserve">marché (documents constitutifs du marché tels que le CCP, et le CCAG, mais également l’offre du </w:t>
      </w:r>
      <w:r>
        <w:rPr>
          <w:spacing w:val="-2"/>
        </w:rPr>
        <w:t>candidat).</w:t>
      </w:r>
    </w:p>
    <w:p>
      <w:pPr>
        <w:pStyle w:val="Titre1"/>
        <w:rPr>
          <w:spacing w:val="-2"/>
        </w:rPr>
      </w:pPr>
      <w:bookmarkStart w:id="79" w:name="_Toc205212187"/>
      <w:r>
        <w:t>INFORMATION</w:t>
      </w:r>
      <w:r>
        <w:rPr>
          <w:spacing w:val="-10"/>
        </w:rPr>
        <w:t xml:space="preserve"> </w:t>
      </w:r>
      <w:r>
        <w:t>DES</w:t>
      </w:r>
      <w:r>
        <w:rPr>
          <w:spacing w:val="-12"/>
        </w:rPr>
        <w:t xml:space="preserve"> </w:t>
      </w:r>
      <w:r>
        <w:rPr>
          <w:spacing w:val="-2"/>
        </w:rPr>
        <w:t>CANDIDATS</w:t>
      </w:r>
      <w:bookmarkEnd w:id="79"/>
    </w:p>
    <w:p>
      <w:r>
        <w:t>Les</w:t>
      </w:r>
      <w:r>
        <w:rPr>
          <w:spacing w:val="-8"/>
        </w:rPr>
        <w:t xml:space="preserve"> </w:t>
      </w:r>
      <w:r>
        <w:t>candidats</w:t>
      </w:r>
      <w:r>
        <w:rPr>
          <w:spacing w:val="-6"/>
        </w:rPr>
        <w:t xml:space="preserve"> </w:t>
      </w:r>
      <w:r>
        <w:t>non</w:t>
      </w:r>
      <w:r>
        <w:rPr>
          <w:spacing w:val="-6"/>
        </w:rPr>
        <w:t xml:space="preserve"> </w:t>
      </w:r>
      <w:r>
        <w:t>retenus</w:t>
      </w:r>
      <w:r>
        <w:rPr>
          <w:spacing w:val="-8"/>
        </w:rPr>
        <w:t xml:space="preserve"> </w:t>
      </w:r>
      <w:r>
        <w:t>seront</w:t>
      </w:r>
      <w:r>
        <w:rPr>
          <w:spacing w:val="-5"/>
        </w:rPr>
        <w:t xml:space="preserve"> </w:t>
      </w:r>
      <w:r>
        <w:t>informés</w:t>
      </w:r>
      <w:r>
        <w:rPr>
          <w:spacing w:val="-7"/>
        </w:rPr>
        <w:t xml:space="preserve"> </w:t>
      </w:r>
      <w:r>
        <w:t>du</w:t>
      </w:r>
      <w:r>
        <w:rPr>
          <w:spacing w:val="-5"/>
        </w:rPr>
        <w:t xml:space="preserve"> </w:t>
      </w:r>
      <w:r>
        <w:t>rejet</w:t>
      </w:r>
      <w:r>
        <w:rPr>
          <w:spacing w:val="-6"/>
        </w:rPr>
        <w:t xml:space="preserve"> </w:t>
      </w:r>
      <w:r>
        <w:t>de</w:t>
      </w:r>
      <w:r>
        <w:rPr>
          <w:spacing w:val="-8"/>
        </w:rPr>
        <w:t xml:space="preserve"> </w:t>
      </w:r>
      <w:r>
        <w:t>l’offre</w:t>
      </w:r>
      <w:r>
        <w:rPr>
          <w:spacing w:val="-8"/>
        </w:rPr>
        <w:t xml:space="preserve"> </w:t>
      </w:r>
      <w:r>
        <w:t>selon</w:t>
      </w:r>
      <w:r>
        <w:rPr>
          <w:spacing w:val="-5"/>
        </w:rPr>
        <w:t xml:space="preserve"> </w:t>
      </w:r>
      <w:r>
        <w:t>les</w:t>
      </w:r>
      <w:r>
        <w:rPr>
          <w:spacing w:val="-5"/>
        </w:rPr>
        <w:t xml:space="preserve"> </w:t>
      </w:r>
      <w:r>
        <w:t>dispositions</w:t>
      </w:r>
      <w:r>
        <w:rPr>
          <w:spacing w:val="-4"/>
        </w:rPr>
        <w:t xml:space="preserve"> </w:t>
      </w:r>
      <w:r>
        <w:t>de</w:t>
      </w:r>
      <w:r>
        <w:rPr>
          <w:spacing w:val="-4"/>
        </w:rPr>
        <w:t xml:space="preserve"> </w:t>
      </w:r>
      <w:r>
        <w:rPr>
          <w:spacing w:val="-2"/>
        </w:rPr>
        <w:t>l’article</w:t>
      </w:r>
    </w:p>
    <w:p>
      <w:r>
        <w:t>R2181-3</w:t>
      </w:r>
      <w:r>
        <w:rPr>
          <w:spacing w:val="-4"/>
        </w:rPr>
        <w:t xml:space="preserve"> </w:t>
      </w:r>
      <w:r>
        <w:t>du</w:t>
      </w:r>
      <w:r>
        <w:rPr>
          <w:spacing w:val="-6"/>
        </w:rPr>
        <w:t xml:space="preserve"> </w:t>
      </w:r>
      <w:r>
        <w:t>code</w:t>
      </w:r>
      <w:r>
        <w:rPr>
          <w:spacing w:val="-4"/>
        </w:rPr>
        <w:t xml:space="preserve"> </w:t>
      </w:r>
      <w:r>
        <w:t>de</w:t>
      </w:r>
      <w:r>
        <w:rPr>
          <w:spacing w:val="-3"/>
        </w:rPr>
        <w:t xml:space="preserve"> </w:t>
      </w:r>
      <w:r>
        <w:t>la</w:t>
      </w:r>
      <w:r>
        <w:rPr>
          <w:spacing w:val="-8"/>
        </w:rPr>
        <w:t xml:space="preserve"> </w:t>
      </w:r>
      <w:r>
        <w:t>commande</w:t>
      </w:r>
      <w:r>
        <w:rPr>
          <w:spacing w:val="-3"/>
        </w:rPr>
        <w:t xml:space="preserve"> </w:t>
      </w:r>
      <w:r>
        <w:rPr>
          <w:spacing w:val="-2"/>
        </w:rPr>
        <w:t>publique.</w:t>
      </w:r>
    </w:p>
    <w:p>
      <w:r>
        <w:t>La</w:t>
      </w:r>
      <w:r>
        <w:rPr>
          <w:spacing w:val="-4"/>
        </w:rPr>
        <w:t xml:space="preserve"> </w:t>
      </w:r>
      <w:r>
        <w:t>notification</w:t>
      </w:r>
      <w:r>
        <w:rPr>
          <w:spacing w:val="-5"/>
        </w:rPr>
        <w:t xml:space="preserve"> </w:t>
      </w:r>
      <w:r>
        <w:t>au</w:t>
      </w:r>
      <w:r>
        <w:rPr>
          <w:spacing w:val="-2"/>
        </w:rPr>
        <w:t xml:space="preserve"> </w:t>
      </w:r>
      <w:r>
        <w:t>titulaire</w:t>
      </w:r>
      <w:r>
        <w:rPr>
          <w:spacing w:val="-2"/>
        </w:rPr>
        <w:t xml:space="preserve"> </w:t>
      </w:r>
      <w:r>
        <w:t>interviendra</w:t>
      </w:r>
      <w:r>
        <w:rPr>
          <w:spacing w:val="-6"/>
        </w:rPr>
        <w:t xml:space="preserve"> </w:t>
      </w:r>
      <w:r>
        <w:t>au</w:t>
      </w:r>
      <w:r>
        <w:rPr>
          <w:spacing w:val="-7"/>
        </w:rPr>
        <w:t xml:space="preserve"> </w:t>
      </w:r>
      <w:r>
        <w:t>terme</w:t>
      </w:r>
      <w:r>
        <w:rPr>
          <w:spacing w:val="-2"/>
        </w:rPr>
        <w:t xml:space="preserve"> </w:t>
      </w:r>
      <w:r>
        <w:t>du</w:t>
      </w:r>
      <w:r>
        <w:rPr>
          <w:spacing w:val="-4"/>
        </w:rPr>
        <w:t xml:space="preserve"> </w:t>
      </w:r>
      <w:r>
        <w:t>délai</w:t>
      </w:r>
      <w:r>
        <w:rPr>
          <w:spacing w:val="-2"/>
        </w:rPr>
        <w:t xml:space="preserve"> </w:t>
      </w:r>
      <w:r>
        <w:t>de</w:t>
      </w:r>
      <w:r>
        <w:rPr>
          <w:spacing w:val="-4"/>
        </w:rPr>
        <w:t xml:space="preserve"> </w:t>
      </w:r>
      <w:r>
        <w:t>suspension</w:t>
      </w:r>
      <w:r>
        <w:rPr>
          <w:spacing w:val="-2"/>
        </w:rPr>
        <w:t xml:space="preserve"> </w:t>
      </w:r>
      <w:r>
        <w:t>de</w:t>
      </w:r>
      <w:r>
        <w:rPr>
          <w:spacing w:val="-9"/>
        </w:rPr>
        <w:t xml:space="preserve"> </w:t>
      </w:r>
      <w:r>
        <w:t>11</w:t>
      </w:r>
      <w:r>
        <w:rPr>
          <w:spacing w:val="-1"/>
        </w:rPr>
        <w:t xml:space="preserve"> </w:t>
      </w:r>
      <w:r>
        <w:t>jours</w:t>
      </w:r>
      <w:r>
        <w:rPr>
          <w:spacing w:val="-2"/>
        </w:rPr>
        <w:t xml:space="preserve"> </w:t>
      </w:r>
      <w:r>
        <w:t>par application de l’article R2182-1 du code de la commande publique.</w:t>
      </w:r>
      <w:bookmarkEnd w:id="76"/>
    </w:p>
    <w:p>
      <w:pPr>
        <w:pStyle w:val="Titre1"/>
      </w:pPr>
      <w:bookmarkStart w:id="80" w:name="_Toc113976734"/>
      <w:bookmarkStart w:id="81" w:name="_Toc205212188"/>
      <w:r>
        <w:t>TRIBUNAL COMPETENT</w:t>
      </w:r>
      <w:bookmarkEnd w:id="80"/>
      <w:bookmarkEnd w:id="81"/>
    </w:p>
    <w:p>
      <w:pPr>
        <w:rPr>
          <w:rFonts w:asciiTheme="minorHAnsi" w:hAnsiTheme="minorHAnsi" w:cstheme="minorHAnsi"/>
        </w:rPr>
      </w:pPr>
      <w:r>
        <w:rPr>
          <w:rFonts w:asciiTheme="minorHAnsi" w:hAnsiTheme="minorHAnsi" w:cstheme="minorHAnsi"/>
        </w:rPr>
        <w:t>En cas de contestations relatives au déroulement et à l’exécution de la présente consultation, le tribunal administratif de Montreuil sera seul compétent à statuer sur l’objet du litige, conformément à la législation en vigueur.</w:t>
      </w:r>
    </w:p>
    <w:p>
      <w:pPr>
        <w:jc w:val="center"/>
        <w:rPr>
          <w:rFonts w:ascii="Calibri Light" w:hAnsi="Calibri Light" w:cs="Calibri Light"/>
          <w:b/>
          <w:sz w:val="20"/>
        </w:rPr>
      </w:pPr>
    </w:p>
    <w:p>
      <w:pPr>
        <w:jc w:val="center"/>
        <w:rPr>
          <w:rFonts w:asciiTheme="minorHAnsi" w:hAnsiTheme="minorHAnsi" w:cstheme="minorHAnsi"/>
          <w:b/>
          <w:szCs w:val="22"/>
        </w:rPr>
      </w:pPr>
      <w:r>
        <w:rPr>
          <w:rFonts w:asciiTheme="minorHAnsi" w:hAnsiTheme="minorHAnsi" w:cstheme="minorHAnsi"/>
          <w:b/>
          <w:szCs w:val="22"/>
        </w:rPr>
        <w:t>Tribunal Administratif de Montreuil</w:t>
      </w:r>
    </w:p>
    <w:p>
      <w:pPr>
        <w:widowControl w:val="0"/>
        <w:tabs>
          <w:tab w:val="left" w:pos="4140"/>
        </w:tabs>
        <w:suppressAutoHyphens/>
        <w:autoSpaceDE w:val="0"/>
        <w:autoSpaceDN w:val="0"/>
        <w:jc w:val="center"/>
        <w:textAlignment w:val="baseline"/>
        <w:rPr>
          <w:rFonts w:asciiTheme="minorHAnsi" w:eastAsia="SimSun" w:hAnsiTheme="minorHAnsi" w:cstheme="minorHAnsi"/>
          <w:kern w:val="3"/>
          <w:szCs w:val="22"/>
          <w:lang w:eastAsia="en-US"/>
        </w:rPr>
      </w:pPr>
      <w:r>
        <w:rPr>
          <w:rFonts w:asciiTheme="minorHAnsi" w:eastAsia="SimSun" w:hAnsiTheme="minorHAnsi" w:cstheme="minorHAnsi"/>
          <w:kern w:val="3"/>
          <w:szCs w:val="22"/>
          <w:lang w:eastAsia="en-US"/>
        </w:rPr>
        <w:t>7 rue Catherine Puig</w:t>
      </w:r>
    </w:p>
    <w:p>
      <w:pPr>
        <w:widowControl w:val="0"/>
        <w:tabs>
          <w:tab w:val="left" w:pos="4140"/>
        </w:tabs>
        <w:suppressAutoHyphens/>
        <w:autoSpaceDE w:val="0"/>
        <w:autoSpaceDN w:val="0"/>
        <w:jc w:val="center"/>
        <w:textAlignment w:val="baseline"/>
        <w:rPr>
          <w:rFonts w:asciiTheme="minorHAnsi" w:eastAsia="SimSun" w:hAnsiTheme="minorHAnsi" w:cstheme="minorHAnsi"/>
          <w:kern w:val="3"/>
          <w:szCs w:val="22"/>
          <w:lang w:eastAsia="en-US"/>
        </w:rPr>
      </w:pPr>
      <w:r>
        <w:rPr>
          <w:rFonts w:asciiTheme="minorHAnsi" w:eastAsia="SimSun" w:hAnsiTheme="minorHAnsi" w:cstheme="minorHAnsi"/>
          <w:kern w:val="3"/>
          <w:szCs w:val="22"/>
          <w:lang w:eastAsia="en-US"/>
        </w:rPr>
        <w:t>93558 MONTREUIL Cedex</w:t>
      </w:r>
    </w:p>
    <w:p>
      <w:pPr>
        <w:widowControl w:val="0"/>
        <w:tabs>
          <w:tab w:val="left" w:pos="4140"/>
        </w:tabs>
        <w:suppressAutoHyphens/>
        <w:autoSpaceDE w:val="0"/>
        <w:autoSpaceDN w:val="0"/>
        <w:jc w:val="center"/>
        <w:textAlignment w:val="baseline"/>
        <w:rPr>
          <w:rFonts w:asciiTheme="minorHAnsi" w:eastAsia="SimSun" w:hAnsiTheme="minorHAnsi" w:cstheme="minorHAnsi"/>
          <w:kern w:val="3"/>
          <w:szCs w:val="22"/>
          <w:lang w:eastAsia="en-US"/>
        </w:rPr>
      </w:pPr>
      <w:r>
        <w:rPr>
          <w:rFonts w:asciiTheme="minorHAnsi" w:eastAsia="SimSun" w:hAnsiTheme="minorHAnsi" w:cstheme="minorHAnsi"/>
          <w:kern w:val="3"/>
          <w:szCs w:val="22"/>
          <w:lang w:eastAsia="en-US"/>
        </w:rPr>
        <w:t>Tél : 01 49 20 20 00</w:t>
      </w:r>
    </w:p>
    <w:p>
      <w:pPr>
        <w:jc w:val="center"/>
        <w:rPr>
          <w:rFonts w:asciiTheme="minorHAnsi" w:hAnsiTheme="minorHAnsi" w:cstheme="minorHAnsi"/>
          <w:szCs w:val="22"/>
        </w:rPr>
      </w:pPr>
      <w:r>
        <w:rPr>
          <w:rFonts w:asciiTheme="minorHAnsi" w:eastAsia="SimSun" w:hAnsiTheme="minorHAnsi" w:cstheme="minorHAnsi"/>
          <w:kern w:val="3"/>
          <w:szCs w:val="22"/>
          <w:lang w:eastAsia="en-US"/>
        </w:rPr>
        <w:t xml:space="preserve">Courriel : </w:t>
      </w:r>
      <w:hyperlink r:id="rId25" w:history="1">
        <w:r>
          <w:rPr>
            <w:rFonts w:asciiTheme="minorHAnsi" w:eastAsia="SimSun" w:hAnsiTheme="minorHAnsi" w:cstheme="minorHAnsi"/>
            <w:kern w:val="3"/>
            <w:szCs w:val="22"/>
            <w:lang w:eastAsia="en-US"/>
          </w:rPr>
          <w:t>greffe.ta-montreuil@juradm.fr</w:t>
        </w:r>
      </w:hyperlink>
      <w:bookmarkEnd w:id="0"/>
      <w:bookmarkEnd w:id="1"/>
      <w:bookmarkEnd w:id="2"/>
    </w:p>
    <w:sectPr>
      <w:footerReference w:type="default" r:id="rId26"/>
      <w:footerReference w:type="first" r:id="rId27"/>
      <w:pgSz w:w="11905" w:h="16837"/>
      <w:pgMar w:top="1417" w:right="1417" w:bottom="1417" w:left="1417" w:header="57" w:footer="0"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287E976" w16cex:dateUtc="2024-09-11T07: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Extra Bold">
    <w:altName w:val="Century Gothic"/>
    <w:charset w:val="00"/>
    <w:family w:val="swiss"/>
    <w:pitch w:val="variable"/>
    <w:sig w:usb0="00000001"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framePr w:wrap="around" w:vAnchor="text" w:hAnchor="margin" w:xAlign="right" w:y="1"/>
      <w:rPr>
        <w:rStyle w:val="Numrodepage"/>
      </w:rPr>
    </w:pPr>
  </w:p>
  <w:p>
    <w:pPr>
      <w:pStyle w:val="Pieddepage"/>
      <w:jc w:val="center"/>
      <w:rPr>
        <w:rFonts w:cs="Calibri"/>
        <w:sz w:val="16"/>
        <w:szCs w:val="16"/>
      </w:rPr>
    </w:pPr>
    <w:r>
      <w:rPr>
        <w:rFonts w:cs="Calibri"/>
        <w:sz w:val="16"/>
        <w:szCs w:val="16"/>
      </w:rPr>
      <w:t xml:space="preserve">Page </w:t>
    </w:r>
    <w:r>
      <w:rPr>
        <w:rFonts w:cs="Calibri"/>
        <w:b/>
        <w:bCs/>
        <w:sz w:val="16"/>
        <w:szCs w:val="16"/>
      </w:rPr>
      <w:fldChar w:fldCharType="begin"/>
    </w:r>
    <w:r>
      <w:rPr>
        <w:rFonts w:cs="Calibri"/>
        <w:b/>
        <w:bCs/>
        <w:sz w:val="16"/>
        <w:szCs w:val="16"/>
      </w:rPr>
      <w:instrText>PAGE</w:instrText>
    </w:r>
    <w:r>
      <w:rPr>
        <w:rFonts w:cs="Calibri"/>
        <w:b/>
        <w:bCs/>
        <w:sz w:val="16"/>
        <w:szCs w:val="16"/>
      </w:rPr>
      <w:fldChar w:fldCharType="separate"/>
    </w:r>
    <w:r>
      <w:rPr>
        <w:rFonts w:cs="Calibri"/>
        <w:b/>
        <w:bCs/>
        <w:sz w:val="16"/>
        <w:szCs w:val="16"/>
      </w:rPr>
      <w:t>1</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NUMPAGES</w:instrText>
    </w:r>
    <w:r>
      <w:rPr>
        <w:rFonts w:cs="Calibri"/>
        <w:b/>
        <w:bCs/>
        <w:sz w:val="16"/>
        <w:szCs w:val="16"/>
      </w:rPr>
      <w:fldChar w:fldCharType="separate"/>
    </w:r>
    <w:r>
      <w:rPr>
        <w:rFonts w:cs="Calibri"/>
        <w:b/>
        <w:bCs/>
        <w:sz w:val="16"/>
        <w:szCs w:val="16"/>
      </w:rPr>
      <w:t>24</w:t>
    </w:r>
    <w:r>
      <w:rPr>
        <w:rFonts w:cs="Calibri"/>
        <w:b/>
        <w:bCs/>
        <w:sz w:val="16"/>
        <w:szCs w:val="16"/>
      </w:rPr>
      <w:fldChar w:fldCharType="end"/>
    </w:r>
  </w:p>
  <w:p/>
  <w:p/>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jc w:val="center"/>
      <w:rPr>
        <w:rFonts w:cs="Calibri"/>
        <w:sz w:val="16"/>
        <w:szCs w:val="16"/>
      </w:rPr>
    </w:pPr>
    <w:bookmarkStart w:id="82" w:name="_Hlk177137793"/>
    <w:r>
      <w:rPr>
        <w:rFonts w:cs="Calibri"/>
        <w:sz w:val="16"/>
        <w:szCs w:val="16"/>
      </w:rPr>
      <w:t xml:space="preserve">Page </w:t>
    </w:r>
    <w:r>
      <w:rPr>
        <w:rFonts w:cs="Calibri"/>
        <w:b/>
        <w:bCs/>
        <w:sz w:val="16"/>
        <w:szCs w:val="16"/>
      </w:rPr>
      <w:fldChar w:fldCharType="begin"/>
    </w:r>
    <w:r>
      <w:rPr>
        <w:rFonts w:cs="Calibri"/>
        <w:b/>
        <w:bCs/>
        <w:sz w:val="16"/>
        <w:szCs w:val="16"/>
      </w:rPr>
      <w:instrText>PAGE</w:instrText>
    </w:r>
    <w:r>
      <w:rPr>
        <w:rFonts w:cs="Calibri"/>
        <w:b/>
        <w:bCs/>
        <w:sz w:val="16"/>
        <w:szCs w:val="16"/>
      </w:rPr>
      <w:fldChar w:fldCharType="separate"/>
    </w:r>
    <w:r>
      <w:rPr>
        <w:rFonts w:cs="Calibri"/>
        <w:b/>
        <w:bCs/>
        <w:noProof/>
        <w:sz w:val="16"/>
        <w:szCs w:val="16"/>
      </w:rPr>
      <w:t>1</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NUMPAGES</w:instrText>
    </w:r>
    <w:r>
      <w:rPr>
        <w:rFonts w:cs="Calibri"/>
        <w:b/>
        <w:bCs/>
        <w:sz w:val="16"/>
        <w:szCs w:val="16"/>
      </w:rPr>
      <w:fldChar w:fldCharType="separate"/>
    </w:r>
    <w:r>
      <w:rPr>
        <w:rFonts w:cs="Calibri"/>
        <w:b/>
        <w:bCs/>
        <w:noProof/>
        <w:sz w:val="16"/>
        <w:szCs w:val="16"/>
      </w:rPr>
      <w:t>1</w:t>
    </w:r>
    <w:r>
      <w:rPr>
        <w:rFonts w:cs="Calibri"/>
        <w:b/>
        <w:bCs/>
        <w:sz w:val="16"/>
        <w:szCs w:val="16"/>
      </w:rPr>
      <w:fldChar w:fldCharType="end"/>
    </w:r>
  </w:p>
  <w:bookmarkEnd w:id="82"/>
  <w:p/>
  <w:p/>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1"/>
    <w:lvl w:ilvl="0">
      <w:start w:val="1"/>
      <w:numFmt w:val="decimal"/>
      <w:pStyle w:val="Mtitrarticle"/>
      <w:lvlText w:val="Article %1 :"/>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lowerRoman"/>
      <w:lvlText w:val="(%4)"/>
      <w:lvlJc w:val="righ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lowerLetter"/>
      <w:lvlText w:val="%6)"/>
      <w:lvlJc w:val="left"/>
      <w:pPr>
        <w:tabs>
          <w:tab w:val="num" w:pos="0"/>
        </w:tabs>
      </w:pPr>
      <w:rPr>
        <w:rFonts w:cs="Times New Roman"/>
      </w:rPr>
    </w:lvl>
    <w:lvl w:ilvl="6">
      <w:start w:val="1"/>
      <w:numFmt w:val="lowerRoman"/>
      <w:lvlText w:val="%7)"/>
      <w:lvlJc w:val="righ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right"/>
      <w:pPr>
        <w:tabs>
          <w:tab w:val="num" w:pos="0"/>
        </w:tabs>
      </w:pPr>
      <w:rPr>
        <w:rFonts w:cs="Times New Roman"/>
      </w:rPr>
    </w:lvl>
  </w:abstractNum>
  <w:abstractNum w:abstractNumId="2" w15:restartNumberingAfterBreak="0">
    <w:nsid w:val="00000003"/>
    <w:multiLevelType w:val="multilevel"/>
    <w:tmpl w:val="00000003"/>
    <w:name w:val="WW8Num4"/>
    <w:lvl w:ilvl="0">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1">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2">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3">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4">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5">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6">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7">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8">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abstractNum>
  <w:abstractNum w:abstractNumId="3" w15:restartNumberingAfterBreak="0">
    <w:nsid w:val="00000004"/>
    <w:multiLevelType w:val="multilevel"/>
    <w:tmpl w:val="00000004"/>
    <w:name w:val="WW8Num6"/>
    <w:lvl w:ilvl="0">
      <w:start w:val="1"/>
      <w:numFmt w:val="bullet"/>
      <w:lvlText w:val=""/>
      <w:lvlJc w:val="left"/>
      <w:pPr>
        <w:tabs>
          <w:tab w:val="num" w:pos="0"/>
        </w:tabs>
      </w:pPr>
      <w:rPr>
        <w:rFonts w:ascii="Symbol" w:hAnsi="Symbol"/>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4" w15:restartNumberingAfterBreak="0">
    <w:nsid w:val="00000005"/>
    <w:multiLevelType w:val="multilevel"/>
    <w:tmpl w:val="00000005"/>
    <w:name w:val="WW8Num9"/>
    <w:lvl w:ilvl="0">
      <w:numFmt w:val="bullet"/>
      <w:lvlText w:val="–"/>
      <w:lvlJc w:val="left"/>
      <w:pPr>
        <w:tabs>
          <w:tab w:val="num" w:pos="360"/>
        </w:tabs>
      </w:pPr>
      <w:rPr>
        <w:rFonts w:ascii="Arial Narrow" w:hAnsi="Arial Narrow"/>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5" w15:restartNumberingAfterBreak="0">
    <w:nsid w:val="08350643"/>
    <w:multiLevelType w:val="hybridMultilevel"/>
    <w:tmpl w:val="F8B27E60"/>
    <w:lvl w:ilvl="0" w:tplc="1990E752">
      <w:start w:val="1"/>
      <w:numFmt w:val="decimal"/>
      <w:pStyle w:val="MSART"/>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6B6E20"/>
    <w:multiLevelType w:val="hybridMultilevel"/>
    <w:tmpl w:val="463248AC"/>
    <w:lvl w:ilvl="0" w:tplc="9466889A">
      <w:start w:val="93"/>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23" w:hanging="360"/>
      </w:pPr>
      <w:rPr>
        <w:rFonts w:ascii="Courier New" w:hAnsi="Courier New" w:cs="Courier New" w:hint="default"/>
      </w:rPr>
    </w:lvl>
    <w:lvl w:ilvl="2" w:tplc="040C0005" w:tentative="1">
      <w:start w:val="1"/>
      <w:numFmt w:val="bullet"/>
      <w:lvlText w:val=""/>
      <w:lvlJc w:val="left"/>
      <w:pPr>
        <w:ind w:left="597" w:hanging="360"/>
      </w:pPr>
      <w:rPr>
        <w:rFonts w:ascii="Wingdings" w:hAnsi="Wingdings" w:hint="default"/>
      </w:rPr>
    </w:lvl>
    <w:lvl w:ilvl="3" w:tplc="040C0001" w:tentative="1">
      <w:start w:val="1"/>
      <w:numFmt w:val="bullet"/>
      <w:lvlText w:val=""/>
      <w:lvlJc w:val="left"/>
      <w:pPr>
        <w:ind w:left="1317" w:hanging="360"/>
      </w:pPr>
      <w:rPr>
        <w:rFonts w:ascii="Symbol" w:hAnsi="Symbol" w:hint="default"/>
      </w:rPr>
    </w:lvl>
    <w:lvl w:ilvl="4" w:tplc="040C0003" w:tentative="1">
      <w:start w:val="1"/>
      <w:numFmt w:val="bullet"/>
      <w:lvlText w:val="o"/>
      <w:lvlJc w:val="left"/>
      <w:pPr>
        <w:ind w:left="2037" w:hanging="360"/>
      </w:pPr>
      <w:rPr>
        <w:rFonts w:ascii="Courier New" w:hAnsi="Courier New" w:cs="Courier New" w:hint="default"/>
      </w:rPr>
    </w:lvl>
    <w:lvl w:ilvl="5" w:tplc="040C0005" w:tentative="1">
      <w:start w:val="1"/>
      <w:numFmt w:val="bullet"/>
      <w:lvlText w:val=""/>
      <w:lvlJc w:val="left"/>
      <w:pPr>
        <w:ind w:left="2757" w:hanging="360"/>
      </w:pPr>
      <w:rPr>
        <w:rFonts w:ascii="Wingdings" w:hAnsi="Wingdings" w:hint="default"/>
      </w:rPr>
    </w:lvl>
    <w:lvl w:ilvl="6" w:tplc="040C0001" w:tentative="1">
      <w:start w:val="1"/>
      <w:numFmt w:val="bullet"/>
      <w:lvlText w:val=""/>
      <w:lvlJc w:val="left"/>
      <w:pPr>
        <w:ind w:left="3477" w:hanging="360"/>
      </w:pPr>
      <w:rPr>
        <w:rFonts w:ascii="Symbol" w:hAnsi="Symbol" w:hint="default"/>
      </w:rPr>
    </w:lvl>
    <w:lvl w:ilvl="7" w:tplc="040C0003" w:tentative="1">
      <w:start w:val="1"/>
      <w:numFmt w:val="bullet"/>
      <w:lvlText w:val="o"/>
      <w:lvlJc w:val="left"/>
      <w:pPr>
        <w:ind w:left="4197" w:hanging="360"/>
      </w:pPr>
      <w:rPr>
        <w:rFonts w:ascii="Courier New" w:hAnsi="Courier New" w:cs="Courier New" w:hint="default"/>
      </w:rPr>
    </w:lvl>
    <w:lvl w:ilvl="8" w:tplc="040C0005" w:tentative="1">
      <w:start w:val="1"/>
      <w:numFmt w:val="bullet"/>
      <w:lvlText w:val=""/>
      <w:lvlJc w:val="left"/>
      <w:pPr>
        <w:ind w:left="4917" w:hanging="360"/>
      </w:pPr>
      <w:rPr>
        <w:rFonts w:ascii="Wingdings" w:hAnsi="Wingdings" w:hint="default"/>
      </w:rPr>
    </w:lvl>
  </w:abstractNum>
  <w:abstractNum w:abstractNumId="7" w15:restartNumberingAfterBreak="0">
    <w:nsid w:val="16DE69A5"/>
    <w:multiLevelType w:val="hybridMultilevel"/>
    <w:tmpl w:val="5C0A5F5E"/>
    <w:lvl w:ilvl="0" w:tplc="040C0001">
      <w:start w:val="1"/>
      <w:numFmt w:val="bullet"/>
      <w:lvlText w:val=""/>
      <w:lvlJc w:val="left"/>
      <w:pPr>
        <w:ind w:left="3196" w:hanging="360"/>
      </w:pPr>
      <w:rPr>
        <w:rFonts w:ascii="Symbol" w:hAnsi="Symbol" w:hint="default"/>
      </w:rPr>
    </w:lvl>
    <w:lvl w:ilvl="1" w:tplc="040C0003" w:tentative="1">
      <w:start w:val="1"/>
      <w:numFmt w:val="bullet"/>
      <w:lvlText w:val="o"/>
      <w:lvlJc w:val="left"/>
      <w:pPr>
        <w:ind w:left="3916" w:hanging="360"/>
      </w:pPr>
      <w:rPr>
        <w:rFonts w:ascii="Courier New" w:hAnsi="Courier New" w:cs="Courier New" w:hint="default"/>
      </w:rPr>
    </w:lvl>
    <w:lvl w:ilvl="2" w:tplc="040C0005" w:tentative="1">
      <w:start w:val="1"/>
      <w:numFmt w:val="bullet"/>
      <w:lvlText w:val=""/>
      <w:lvlJc w:val="left"/>
      <w:pPr>
        <w:ind w:left="4636" w:hanging="360"/>
      </w:pPr>
      <w:rPr>
        <w:rFonts w:ascii="Wingdings" w:hAnsi="Wingdings" w:hint="default"/>
      </w:rPr>
    </w:lvl>
    <w:lvl w:ilvl="3" w:tplc="040C0001" w:tentative="1">
      <w:start w:val="1"/>
      <w:numFmt w:val="bullet"/>
      <w:lvlText w:val=""/>
      <w:lvlJc w:val="left"/>
      <w:pPr>
        <w:ind w:left="5356" w:hanging="360"/>
      </w:pPr>
      <w:rPr>
        <w:rFonts w:ascii="Symbol" w:hAnsi="Symbol" w:hint="default"/>
      </w:rPr>
    </w:lvl>
    <w:lvl w:ilvl="4" w:tplc="040C0003" w:tentative="1">
      <w:start w:val="1"/>
      <w:numFmt w:val="bullet"/>
      <w:lvlText w:val="o"/>
      <w:lvlJc w:val="left"/>
      <w:pPr>
        <w:ind w:left="6076" w:hanging="360"/>
      </w:pPr>
      <w:rPr>
        <w:rFonts w:ascii="Courier New" w:hAnsi="Courier New" w:cs="Courier New" w:hint="default"/>
      </w:rPr>
    </w:lvl>
    <w:lvl w:ilvl="5" w:tplc="040C0005" w:tentative="1">
      <w:start w:val="1"/>
      <w:numFmt w:val="bullet"/>
      <w:lvlText w:val=""/>
      <w:lvlJc w:val="left"/>
      <w:pPr>
        <w:ind w:left="6796" w:hanging="360"/>
      </w:pPr>
      <w:rPr>
        <w:rFonts w:ascii="Wingdings" w:hAnsi="Wingdings" w:hint="default"/>
      </w:rPr>
    </w:lvl>
    <w:lvl w:ilvl="6" w:tplc="040C0001" w:tentative="1">
      <w:start w:val="1"/>
      <w:numFmt w:val="bullet"/>
      <w:lvlText w:val=""/>
      <w:lvlJc w:val="left"/>
      <w:pPr>
        <w:ind w:left="7516" w:hanging="360"/>
      </w:pPr>
      <w:rPr>
        <w:rFonts w:ascii="Symbol" w:hAnsi="Symbol" w:hint="default"/>
      </w:rPr>
    </w:lvl>
    <w:lvl w:ilvl="7" w:tplc="040C0003" w:tentative="1">
      <w:start w:val="1"/>
      <w:numFmt w:val="bullet"/>
      <w:lvlText w:val="o"/>
      <w:lvlJc w:val="left"/>
      <w:pPr>
        <w:ind w:left="8236" w:hanging="360"/>
      </w:pPr>
      <w:rPr>
        <w:rFonts w:ascii="Courier New" w:hAnsi="Courier New" w:cs="Courier New" w:hint="default"/>
      </w:rPr>
    </w:lvl>
    <w:lvl w:ilvl="8" w:tplc="040C0005" w:tentative="1">
      <w:start w:val="1"/>
      <w:numFmt w:val="bullet"/>
      <w:lvlText w:val=""/>
      <w:lvlJc w:val="left"/>
      <w:pPr>
        <w:ind w:left="8956" w:hanging="360"/>
      </w:pPr>
      <w:rPr>
        <w:rFonts w:ascii="Wingdings" w:hAnsi="Wingdings" w:hint="default"/>
      </w:rPr>
    </w:lvl>
  </w:abstractNum>
  <w:abstractNum w:abstractNumId="8" w15:restartNumberingAfterBreak="0">
    <w:nsid w:val="19FB5D85"/>
    <w:multiLevelType w:val="hybridMultilevel"/>
    <w:tmpl w:val="E5FA61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344B20"/>
    <w:multiLevelType w:val="multilevel"/>
    <w:tmpl w:val="FB881D4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cs="Calibr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E293D9A"/>
    <w:multiLevelType w:val="multilevel"/>
    <w:tmpl w:val="01C09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2653662"/>
    <w:multiLevelType w:val="hybridMultilevel"/>
    <w:tmpl w:val="382A10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FE2D42"/>
    <w:multiLevelType w:val="hybridMultilevel"/>
    <w:tmpl w:val="ED94F2EE"/>
    <w:lvl w:ilvl="0" w:tplc="FFFFFFFF">
      <w:numFmt w:val="bullet"/>
      <w:lvlText w:val="-"/>
      <w:lvlJc w:val="left"/>
      <w:pPr>
        <w:ind w:left="1429" w:hanging="360"/>
      </w:p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26F66728"/>
    <w:multiLevelType w:val="hybridMultilevel"/>
    <w:tmpl w:val="9608208C"/>
    <w:lvl w:ilvl="0" w:tplc="738AF856">
      <w:start w:val="100"/>
      <w:numFmt w:val="bullet"/>
      <w:lvlText w:val="-"/>
      <w:lvlJc w:val="left"/>
      <w:pPr>
        <w:ind w:left="720" w:hanging="360"/>
      </w:pPr>
      <w:rPr>
        <w:rFonts w:ascii="Calibri" w:eastAsia="Times New Roman" w:hAnsi="Calibri" w:cs="Calibri"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8340981"/>
    <w:multiLevelType w:val="multilevel"/>
    <w:tmpl w:val="DDE8D19E"/>
    <w:styleLink w:val="MTITRE"/>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5" w15:restartNumberingAfterBreak="0">
    <w:nsid w:val="28C36A56"/>
    <w:multiLevelType w:val="hybridMultilevel"/>
    <w:tmpl w:val="70746DE2"/>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6" w15:restartNumberingAfterBreak="0">
    <w:nsid w:val="2BFC1C82"/>
    <w:multiLevelType w:val="hybridMultilevel"/>
    <w:tmpl w:val="976A37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8A5D99"/>
    <w:multiLevelType w:val="hybridMultilevel"/>
    <w:tmpl w:val="1120619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23" w:hanging="360"/>
      </w:pPr>
      <w:rPr>
        <w:rFonts w:ascii="Courier New" w:hAnsi="Courier New" w:cs="Courier New" w:hint="default"/>
      </w:rPr>
    </w:lvl>
    <w:lvl w:ilvl="2" w:tplc="040C0005" w:tentative="1">
      <w:start w:val="1"/>
      <w:numFmt w:val="bullet"/>
      <w:lvlText w:val=""/>
      <w:lvlJc w:val="left"/>
      <w:pPr>
        <w:ind w:left="597" w:hanging="360"/>
      </w:pPr>
      <w:rPr>
        <w:rFonts w:ascii="Wingdings" w:hAnsi="Wingdings" w:hint="default"/>
      </w:rPr>
    </w:lvl>
    <w:lvl w:ilvl="3" w:tplc="040C0001" w:tentative="1">
      <w:start w:val="1"/>
      <w:numFmt w:val="bullet"/>
      <w:lvlText w:val=""/>
      <w:lvlJc w:val="left"/>
      <w:pPr>
        <w:ind w:left="1317" w:hanging="360"/>
      </w:pPr>
      <w:rPr>
        <w:rFonts w:ascii="Symbol" w:hAnsi="Symbol" w:hint="default"/>
      </w:rPr>
    </w:lvl>
    <w:lvl w:ilvl="4" w:tplc="040C0003" w:tentative="1">
      <w:start w:val="1"/>
      <w:numFmt w:val="bullet"/>
      <w:lvlText w:val="o"/>
      <w:lvlJc w:val="left"/>
      <w:pPr>
        <w:ind w:left="2037" w:hanging="360"/>
      </w:pPr>
      <w:rPr>
        <w:rFonts w:ascii="Courier New" w:hAnsi="Courier New" w:cs="Courier New" w:hint="default"/>
      </w:rPr>
    </w:lvl>
    <w:lvl w:ilvl="5" w:tplc="040C0005" w:tentative="1">
      <w:start w:val="1"/>
      <w:numFmt w:val="bullet"/>
      <w:lvlText w:val=""/>
      <w:lvlJc w:val="left"/>
      <w:pPr>
        <w:ind w:left="2757" w:hanging="360"/>
      </w:pPr>
      <w:rPr>
        <w:rFonts w:ascii="Wingdings" w:hAnsi="Wingdings" w:hint="default"/>
      </w:rPr>
    </w:lvl>
    <w:lvl w:ilvl="6" w:tplc="040C0001" w:tentative="1">
      <w:start w:val="1"/>
      <w:numFmt w:val="bullet"/>
      <w:lvlText w:val=""/>
      <w:lvlJc w:val="left"/>
      <w:pPr>
        <w:ind w:left="3477" w:hanging="360"/>
      </w:pPr>
      <w:rPr>
        <w:rFonts w:ascii="Symbol" w:hAnsi="Symbol" w:hint="default"/>
      </w:rPr>
    </w:lvl>
    <w:lvl w:ilvl="7" w:tplc="040C0003" w:tentative="1">
      <w:start w:val="1"/>
      <w:numFmt w:val="bullet"/>
      <w:lvlText w:val="o"/>
      <w:lvlJc w:val="left"/>
      <w:pPr>
        <w:ind w:left="4197" w:hanging="360"/>
      </w:pPr>
      <w:rPr>
        <w:rFonts w:ascii="Courier New" w:hAnsi="Courier New" w:cs="Courier New" w:hint="default"/>
      </w:rPr>
    </w:lvl>
    <w:lvl w:ilvl="8" w:tplc="040C0005" w:tentative="1">
      <w:start w:val="1"/>
      <w:numFmt w:val="bullet"/>
      <w:lvlText w:val=""/>
      <w:lvlJc w:val="left"/>
      <w:pPr>
        <w:ind w:left="4917" w:hanging="360"/>
      </w:pPr>
      <w:rPr>
        <w:rFonts w:ascii="Wingdings" w:hAnsi="Wingdings" w:hint="default"/>
      </w:rPr>
    </w:lvl>
  </w:abstractNum>
  <w:abstractNum w:abstractNumId="18" w15:restartNumberingAfterBreak="0">
    <w:nsid w:val="31DD3A58"/>
    <w:multiLevelType w:val="hybridMultilevel"/>
    <w:tmpl w:val="24566C4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6A7AE0"/>
    <w:multiLevelType w:val="hybridMultilevel"/>
    <w:tmpl w:val="47BA28B2"/>
    <w:lvl w:ilvl="0" w:tplc="F3C44626">
      <w:start w:val="1"/>
      <w:numFmt w:val="decimal"/>
      <w:pStyle w:val="MART"/>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91B06EE"/>
    <w:multiLevelType w:val="hybridMultilevel"/>
    <w:tmpl w:val="C218A8B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1" w15:restartNumberingAfterBreak="0">
    <w:nsid w:val="3EC66AE3"/>
    <w:multiLevelType w:val="hybridMultilevel"/>
    <w:tmpl w:val="B8CCEC6C"/>
    <w:lvl w:ilvl="0" w:tplc="FFFFFFFF">
      <w:numFmt w:val="bullet"/>
      <w:pStyle w:val="numration-"/>
      <w:lvlText w:val="-"/>
      <w:lvlJc w:val="left"/>
      <w:pPr>
        <w:tabs>
          <w:tab w:val="num" w:pos="1440"/>
        </w:tabs>
        <w:ind w:left="1440" w:hanging="360"/>
      </w:pPr>
      <w:rPr>
        <w:rFonts w:ascii="Arial" w:eastAsia="Times New Roman" w:hAnsi="Arial" w:hint="default"/>
      </w:rPr>
    </w:lvl>
    <w:lvl w:ilvl="1" w:tplc="040C0001"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F1625A"/>
    <w:multiLevelType w:val="hybridMultilevel"/>
    <w:tmpl w:val="A37EA454"/>
    <w:lvl w:ilvl="0" w:tplc="55F62F80">
      <w:numFmt w:val="bullet"/>
      <w:lvlText w:val="-"/>
      <w:lvlJc w:val="left"/>
      <w:pPr>
        <w:ind w:left="720" w:hanging="360"/>
      </w:pPr>
      <w:rPr>
        <w:rFonts w:ascii="Arial" w:hAnsi="Arial" w:cs="Times New Roman" w:hint="default"/>
        <w:color w:val="00008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CD6C75"/>
    <w:multiLevelType w:val="hybridMultilevel"/>
    <w:tmpl w:val="47505F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EB66FE"/>
    <w:multiLevelType w:val="hybridMultilevel"/>
    <w:tmpl w:val="D0C6DC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001DED"/>
    <w:multiLevelType w:val="hybridMultilevel"/>
    <w:tmpl w:val="697E6890"/>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26" w15:restartNumberingAfterBreak="0">
    <w:nsid w:val="4AC06098"/>
    <w:multiLevelType w:val="hybridMultilevel"/>
    <w:tmpl w:val="17EABBB6"/>
    <w:lvl w:ilvl="0" w:tplc="31388E3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C46192"/>
    <w:multiLevelType w:val="hybridMultilevel"/>
    <w:tmpl w:val="B5FADE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DC703D6"/>
    <w:multiLevelType w:val="hybridMultilevel"/>
    <w:tmpl w:val="0102F042"/>
    <w:lvl w:ilvl="0" w:tplc="9466889A">
      <w:start w:val="93"/>
      <w:numFmt w:val="bullet"/>
      <w:lvlText w:val="-"/>
      <w:lvlJc w:val="left"/>
      <w:pPr>
        <w:ind w:left="1923" w:hanging="360"/>
      </w:pPr>
      <w:rPr>
        <w:rFonts w:ascii="Calibri" w:eastAsia="Calibri" w:hAnsi="Calibri" w:cs="Calibri" w:hint="default"/>
      </w:rPr>
    </w:lvl>
    <w:lvl w:ilvl="1" w:tplc="040C0003" w:tentative="1">
      <w:start w:val="1"/>
      <w:numFmt w:val="bullet"/>
      <w:lvlText w:val="o"/>
      <w:lvlJc w:val="left"/>
      <w:pPr>
        <w:ind w:left="2643" w:hanging="360"/>
      </w:pPr>
      <w:rPr>
        <w:rFonts w:ascii="Courier New" w:hAnsi="Courier New" w:cs="Courier New" w:hint="default"/>
      </w:rPr>
    </w:lvl>
    <w:lvl w:ilvl="2" w:tplc="040C0005" w:tentative="1">
      <w:start w:val="1"/>
      <w:numFmt w:val="bullet"/>
      <w:lvlText w:val=""/>
      <w:lvlJc w:val="left"/>
      <w:pPr>
        <w:ind w:left="3363" w:hanging="360"/>
      </w:pPr>
      <w:rPr>
        <w:rFonts w:ascii="Wingdings" w:hAnsi="Wingdings" w:hint="default"/>
      </w:rPr>
    </w:lvl>
    <w:lvl w:ilvl="3" w:tplc="040C0001" w:tentative="1">
      <w:start w:val="1"/>
      <w:numFmt w:val="bullet"/>
      <w:lvlText w:val=""/>
      <w:lvlJc w:val="left"/>
      <w:pPr>
        <w:ind w:left="4083" w:hanging="360"/>
      </w:pPr>
      <w:rPr>
        <w:rFonts w:ascii="Symbol" w:hAnsi="Symbol" w:hint="default"/>
      </w:rPr>
    </w:lvl>
    <w:lvl w:ilvl="4" w:tplc="040C0003" w:tentative="1">
      <w:start w:val="1"/>
      <w:numFmt w:val="bullet"/>
      <w:lvlText w:val="o"/>
      <w:lvlJc w:val="left"/>
      <w:pPr>
        <w:ind w:left="4803" w:hanging="360"/>
      </w:pPr>
      <w:rPr>
        <w:rFonts w:ascii="Courier New" w:hAnsi="Courier New" w:cs="Courier New" w:hint="default"/>
      </w:rPr>
    </w:lvl>
    <w:lvl w:ilvl="5" w:tplc="040C0005" w:tentative="1">
      <w:start w:val="1"/>
      <w:numFmt w:val="bullet"/>
      <w:lvlText w:val=""/>
      <w:lvlJc w:val="left"/>
      <w:pPr>
        <w:ind w:left="5523" w:hanging="360"/>
      </w:pPr>
      <w:rPr>
        <w:rFonts w:ascii="Wingdings" w:hAnsi="Wingdings" w:hint="default"/>
      </w:rPr>
    </w:lvl>
    <w:lvl w:ilvl="6" w:tplc="040C0001" w:tentative="1">
      <w:start w:val="1"/>
      <w:numFmt w:val="bullet"/>
      <w:lvlText w:val=""/>
      <w:lvlJc w:val="left"/>
      <w:pPr>
        <w:ind w:left="6243" w:hanging="360"/>
      </w:pPr>
      <w:rPr>
        <w:rFonts w:ascii="Symbol" w:hAnsi="Symbol" w:hint="default"/>
      </w:rPr>
    </w:lvl>
    <w:lvl w:ilvl="7" w:tplc="040C0003" w:tentative="1">
      <w:start w:val="1"/>
      <w:numFmt w:val="bullet"/>
      <w:lvlText w:val="o"/>
      <w:lvlJc w:val="left"/>
      <w:pPr>
        <w:ind w:left="6963" w:hanging="360"/>
      </w:pPr>
      <w:rPr>
        <w:rFonts w:ascii="Courier New" w:hAnsi="Courier New" w:cs="Courier New" w:hint="default"/>
      </w:rPr>
    </w:lvl>
    <w:lvl w:ilvl="8" w:tplc="040C0005" w:tentative="1">
      <w:start w:val="1"/>
      <w:numFmt w:val="bullet"/>
      <w:lvlText w:val=""/>
      <w:lvlJc w:val="left"/>
      <w:pPr>
        <w:ind w:left="7683" w:hanging="360"/>
      </w:pPr>
      <w:rPr>
        <w:rFonts w:ascii="Wingdings" w:hAnsi="Wingdings" w:hint="default"/>
      </w:rPr>
    </w:lvl>
  </w:abstractNum>
  <w:abstractNum w:abstractNumId="29" w15:restartNumberingAfterBreak="0">
    <w:nsid w:val="4FFA7517"/>
    <w:multiLevelType w:val="singleLevel"/>
    <w:tmpl w:val="4E0CAA5A"/>
    <w:lvl w:ilvl="0">
      <w:start w:val="1"/>
      <w:numFmt w:val="bullet"/>
      <w:pStyle w:val="Listepuces1"/>
      <w:lvlText w:val=""/>
      <w:lvlJc w:val="left"/>
      <w:pPr>
        <w:tabs>
          <w:tab w:val="num" w:pos="360"/>
        </w:tabs>
        <w:ind w:left="340" w:hanging="340"/>
      </w:pPr>
      <w:rPr>
        <w:rFonts w:ascii="Symbol" w:hAnsi="Symbol" w:hint="default"/>
      </w:rPr>
    </w:lvl>
  </w:abstractNum>
  <w:abstractNum w:abstractNumId="30" w15:restartNumberingAfterBreak="0">
    <w:nsid w:val="507B399A"/>
    <w:multiLevelType w:val="hybridMultilevel"/>
    <w:tmpl w:val="FEFA75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062C02"/>
    <w:multiLevelType w:val="hybridMultilevel"/>
    <w:tmpl w:val="E52A24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5817B02"/>
    <w:multiLevelType w:val="hybridMultilevel"/>
    <w:tmpl w:val="3BD0FE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5835C78"/>
    <w:multiLevelType w:val="multilevel"/>
    <w:tmpl w:val="62D894B2"/>
    <w:lvl w:ilvl="0">
      <w:start w:val="1"/>
      <w:numFmt w:val="decimal"/>
      <w:pStyle w:val="Titre1"/>
      <w:lvlText w:val="Article %1"/>
      <w:lvlJc w:val="left"/>
      <w:pPr>
        <w:ind w:left="360" w:hanging="360"/>
      </w:pPr>
      <w:rPr>
        <w:rFonts w:ascii="Calibri" w:hAnsi="Calibri" w:hint="default"/>
        <w:b/>
        <w:i w:val="0"/>
        <w:sz w:val="22"/>
      </w:rPr>
    </w:lvl>
    <w:lvl w:ilvl="1">
      <w:start w:val="1"/>
      <w:numFmt w:val="decimal"/>
      <w:pStyle w:val="Titre2"/>
      <w:lvlText w:val="%1.%2"/>
      <w:lvlJc w:val="left"/>
      <w:pPr>
        <w:ind w:left="1284" w:hanging="576"/>
      </w:pPr>
      <w:rPr>
        <w:rFonts w:ascii="Calibri" w:hAnsi="Calibri" w:hint="default"/>
        <w:b/>
        <w:i w:val="0"/>
        <w:sz w:val="22"/>
      </w:rPr>
    </w:lvl>
    <w:lvl w:ilvl="2">
      <w:start w:val="1"/>
      <w:numFmt w:val="decimal"/>
      <w:pStyle w:val="Titre3"/>
      <w:lvlText w:val="%1.%2.%3"/>
      <w:lvlJc w:val="left"/>
      <w:pPr>
        <w:ind w:left="-698" w:hanging="720"/>
      </w:pPr>
      <w:rPr>
        <w:rFonts w:ascii="Calibri" w:hAnsi="Calibri" w:hint="default"/>
        <w:b/>
        <w:i w:val="0"/>
        <w:sz w:val="22"/>
      </w:rPr>
    </w:lvl>
    <w:lvl w:ilvl="3">
      <w:start w:val="1"/>
      <w:numFmt w:val="none"/>
      <w:lvlText w:val=""/>
      <w:lvlJc w:val="left"/>
      <w:pPr>
        <w:ind w:left="-696" w:hanging="864"/>
      </w:pPr>
      <w:rPr>
        <w:rFonts w:hint="default"/>
      </w:rPr>
    </w:lvl>
    <w:lvl w:ilvl="4">
      <w:start w:val="1"/>
      <w:numFmt w:val="decimal"/>
      <w:lvlText w:val="%1.%2.%3.%4.%5"/>
      <w:lvlJc w:val="left"/>
      <w:pPr>
        <w:ind w:left="-552" w:hanging="1008"/>
      </w:pPr>
      <w:rPr>
        <w:rFonts w:hint="default"/>
      </w:rPr>
    </w:lvl>
    <w:lvl w:ilvl="5">
      <w:start w:val="1"/>
      <w:numFmt w:val="decimal"/>
      <w:lvlText w:val="%1.%2.%3.%4.%5.%6"/>
      <w:lvlJc w:val="left"/>
      <w:pPr>
        <w:ind w:left="-408" w:hanging="1152"/>
      </w:pPr>
      <w:rPr>
        <w:rFonts w:hint="default"/>
      </w:rPr>
    </w:lvl>
    <w:lvl w:ilvl="6">
      <w:start w:val="1"/>
      <w:numFmt w:val="decimal"/>
      <w:lvlText w:val="%1.%2.%3.%4.%5.%6.%7"/>
      <w:lvlJc w:val="left"/>
      <w:pPr>
        <w:ind w:left="-264" w:hanging="1296"/>
      </w:pPr>
      <w:rPr>
        <w:rFonts w:hint="default"/>
      </w:rPr>
    </w:lvl>
    <w:lvl w:ilvl="7">
      <w:start w:val="1"/>
      <w:numFmt w:val="decimal"/>
      <w:lvlText w:val="%1.%2.%3.%4.%5.%6.%7.%8"/>
      <w:lvlJc w:val="left"/>
      <w:pPr>
        <w:ind w:left="-120" w:hanging="1440"/>
      </w:pPr>
      <w:rPr>
        <w:rFonts w:hint="default"/>
      </w:rPr>
    </w:lvl>
    <w:lvl w:ilvl="8">
      <w:start w:val="1"/>
      <w:numFmt w:val="decimal"/>
      <w:lvlText w:val="%1.%2.%3.%4.%5.%6.%7.%8.%9"/>
      <w:lvlJc w:val="left"/>
      <w:pPr>
        <w:ind w:left="24" w:hanging="1584"/>
      </w:pPr>
      <w:rPr>
        <w:rFonts w:hint="default"/>
      </w:rPr>
    </w:lvl>
  </w:abstractNum>
  <w:abstractNum w:abstractNumId="34" w15:restartNumberingAfterBreak="0">
    <w:nsid w:val="59FA1EA0"/>
    <w:multiLevelType w:val="hybridMultilevel"/>
    <w:tmpl w:val="550C080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B8C4076"/>
    <w:multiLevelType w:val="hybridMultilevel"/>
    <w:tmpl w:val="85DA7D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BA9226B"/>
    <w:multiLevelType w:val="multilevel"/>
    <w:tmpl w:val="3E3AB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CB30C7D"/>
    <w:multiLevelType w:val="hybridMultilevel"/>
    <w:tmpl w:val="E526A7A6"/>
    <w:lvl w:ilvl="0" w:tplc="4566C1F2">
      <w:start w:val="1"/>
      <w:numFmt w:val="bullet"/>
      <w:pStyle w:val="Redaliapuces"/>
      <w:lvlText w:val=""/>
      <w:lvlJc w:val="left"/>
      <w:pPr>
        <w:tabs>
          <w:tab w:val="num" w:pos="530"/>
        </w:tabs>
        <w:ind w:left="284" w:hanging="114"/>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DE55E5C"/>
    <w:multiLevelType w:val="hybridMultilevel"/>
    <w:tmpl w:val="89305670"/>
    <w:lvl w:ilvl="0" w:tplc="55F62F80">
      <w:numFmt w:val="bullet"/>
      <w:lvlText w:val="-"/>
      <w:lvlJc w:val="left"/>
      <w:pPr>
        <w:ind w:left="1080" w:hanging="360"/>
      </w:pPr>
      <w:rPr>
        <w:rFonts w:ascii="Arial" w:hAnsi="Arial" w:cs="Times New Roman" w:hint="default"/>
        <w:color w:val="000080"/>
        <w:sz w:val="22"/>
        <w:szCs w:val="22"/>
      </w:rPr>
    </w:lvl>
    <w:lvl w:ilvl="1" w:tplc="040C0003">
      <w:start w:val="1"/>
      <w:numFmt w:val="bullet"/>
      <w:pStyle w:val="Mstitre1"/>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39" w15:restartNumberingAfterBreak="0">
    <w:nsid w:val="5DFC596D"/>
    <w:multiLevelType w:val="multilevel"/>
    <w:tmpl w:val="D324A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17C175B"/>
    <w:multiLevelType w:val="hybridMultilevel"/>
    <w:tmpl w:val="83942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9454372"/>
    <w:multiLevelType w:val="multilevel"/>
    <w:tmpl w:val="62C6D2DC"/>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9D4392A"/>
    <w:multiLevelType w:val="hybridMultilevel"/>
    <w:tmpl w:val="90546A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C1F22B0"/>
    <w:multiLevelType w:val="hybridMultilevel"/>
    <w:tmpl w:val="EB8A96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1AF0657"/>
    <w:multiLevelType w:val="multilevel"/>
    <w:tmpl w:val="8FBC921E"/>
    <w:lvl w:ilvl="0">
      <w:start w:val="1"/>
      <w:numFmt w:val="decimal"/>
      <w:lvlText w:val="ARTICLE %1"/>
      <w:lvlJc w:val="left"/>
      <w:pPr>
        <w:ind w:left="432" w:hanging="432"/>
      </w:pPr>
      <w:rPr>
        <w:rFonts w:hint="default"/>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720F7A21"/>
    <w:multiLevelType w:val="hybridMultilevel"/>
    <w:tmpl w:val="37EA6CD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6" w15:restartNumberingAfterBreak="0">
    <w:nsid w:val="72502C5C"/>
    <w:multiLevelType w:val="hybridMultilevel"/>
    <w:tmpl w:val="19A04D38"/>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7" w15:restartNumberingAfterBreak="0">
    <w:nsid w:val="75BB4703"/>
    <w:multiLevelType w:val="hybridMultilevel"/>
    <w:tmpl w:val="A7F8408C"/>
    <w:lvl w:ilvl="0" w:tplc="B850886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A28347C"/>
    <w:multiLevelType w:val="multilevel"/>
    <w:tmpl w:val="9454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E2E063E"/>
    <w:multiLevelType w:val="hybridMultilevel"/>
    <w:tmpl w:val="485A09B6"/>
    <w:lvl w:ilvl="0" w:tplc="738AF856">
      <w:start w:val="100"/>
      <w:numFmt w:val="bullet"/>
      <w:lvlText w:val="-"/>
      <w:lvlJc w:val="left"/>
      <w:pPr>
        <w:ind w:left="720" w:hanging="360"/>
      </w:pPr>
      <w:rPr>
        <w:rFonts w:ascii="Calibri" w:eastAsia="Times New Roman" w:hAnsi="Calibri" w:cs="Calibri"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44"/>
  </w:num>
  <w:num w:numId="4">
    <w:abstractNumId w:val="38"/>
  </w:num>
  <w:num w:numId="5">
    <w:abstractNumId w:val="19"/>
  </w:num>
  <w:num w:numId="6">
    <w:abstractNumId w:val="5"/>
  </w:num>
  <w:num w:numId="7">
    <w:abstractNumId w:val="37"/>
  </w:num>
  <w:num w:numId="8">
    <w:abstractNumId w:val="33"/>
  </w:num>
  <w:num w:numId="9">
    <w:abstractNumId w:val="29"/>
  </w:num>
  <w:num w:numId="10">
    <w:abstractNumId w:val="21"/>
  </w:num>
  <w:num w:numId="11">
    <w:abstractNumId w:val="20"/>
  </w:num>
  <w:num w:numId="12">
    <w:abstractNumId w:val="42"/>
  </w:num>
  <w:num w:numId="13">
    <w:abstractNumId w:val="16"/>
  </w:num>
  <w:num w:numId="14">
    <w:abstractNumId w:val="26"/>
  </w:num>
  <w:num w:numId="15">
    <w:abstractNumId w:val="32"/>
  </w:num>
  <w:num w:numId="16">
    <w:abstractNumId w:val="12"/>
  </w:num>
  <w:num w:numId="17">
    <w:abstractNumId w:val="31"/>
  </w:num>
  <w:num w:numId="18">
    <w:abstractNumId w:val="24"/>
  </w:num>
  <w:num w:numId="19">
    <w:abstractNumId w:val="45"/>
  </w:num>
  <w:num w:numId="20">
    <w:abstractNumId w:val="25"/>
  </w:num>
  <w:num w:numId="21">
    <w:abstractNumId w:val="41"/>
  </w:num>
  <w:num w:numId="22">
    <w:abstractNumId w:val="47"/>
  </w:num>
  <w:num w:numId="23">
    <w:abstractNumId w:val="23"/>
  </w:num>
  <w:num w:numId="24">
    <w:abstractNumId w:val="8"/>
  </w:num>
  <w:num w:numId="25">
    <w:abstractNumId w:val="22"/>
  </w:num>
  <w:num w:numId="26">
    <w:abstractNumId w:val="34"/>
  </w:num>
  <w:num w:numId="27">
    <w:abstractNumId w:val="43"/>
  </w:num>
  <w:num w:numId="28">
    <w:abstractNumId w:val="18"/>
  </w:num>
  <w:num w:numId="29">
    <w:abstractNumId w:val="35"/>
  </w:num>
  <w:num w:numId="30">
    <w:abstractNumId w:val="46"/>
  </w:num>
  <w:num w:numId="31">
    <w:abstractNumId w:val="48"/>
  </w:num>
  <w:num w:numId="32">
    <w:abstractNumId w:val="40"/>
  </w:num>
  <w:num w:numId="33">
    <w:abstractNumId w:val="39"/>
  </w:num>
  <w:num w:numId="34">
    <w:abstractNumId w:val="15"/>
  </w:num>
  <w:num w:numId="35">
    <w:abstractNumId w:val="11"/>
  </w:num>
  <w:num w:numId="36">
    <w:abstractNumId w:val="10"/>
  </w:num>
  <w:num w:numId="37">
    <w:abstractNumId w:val="36"/>
  </w:num>
  <w:num w:numId="38">
    <w:abstractNumId w:val="9"/>
  </w:num>
  <w:num w:numId="39">
    <w:abstractNumId w:val="28"/>
  </w:num>
  <w:num w:numId="40">
    <w:abstractNumId w:val="30"/>
  </w:num>
  <w:num w:numId="41">
    <w:abstractNumId w:val="6"/>
  </w:num>
  <w:num w:numId="42">
    <w:abstractNumId w:val="17"/>
  </w:num>
  <w:num w:numId="43">
    <w:abstractNumId w:val="7"/>
  </w:num>
  <w:num w:numId="44">
    <w:abstractNumId w:val="13"/>
  </w:num>
  <w:num w:numId="45">
    <w:abstractNumId w:val="49"/>
  </w:num>
  <w:num w:numId="46">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A922FCC6-DB3F-480A-ACAE-FF5508B10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0" w:unhideWhenUsed="1"/>
    <w:lsdException w:name="heading 5" w:locked="1" w:semiHidden="1" w:uiPriority="0" w:unhideWhenUsed="1"/>
    <w:lsdException w:name="heading 6" w:locked="1" w:uiPriority="0"/>
    <w:lsdException w:name="heading 7" w:locked="1" w:uiPriority="0"/>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jc w:val="both"/>
    </w:pPr>
    <w:rPr>
      <w:rFonts w:ascii="Calibri" w:hAnsi="Calibri"/>
      <w:sz w:val="22"/>
      <w:szCs w:val="24"/>
      <w:lang w:eastAsia="fr-FR"/>
    </w:rPr>
  </w:style>
  <w:style w:type="paragraph" w:styleId="Titre1">
    <w:name w:val="heading 1"/>
    <w:aliases w:val="t1,TITRE1,heading 1,Titre 11,t1.T1.Titre 1,Titre 1ed,t1.T1.Titre 1Annexe,11.CONDITIONS FINANCIERES,t1.T1,stydde,1titre,1titre1,1titre2,1titre3,1titre4,1titre5,1titre6,H,GSA1,Titre 1:,numeroté  1.,T1,Chapter Headline,Degré 1,Partie,ebi1"/>
    <w:basedOn w:val="Normal"/>
    <w:next w:val="Titre2"/>
    <w:link w:val="Titre1Car"/>
    <w:uiPriority w:val="9"/>
    <w:qFormat/>
    <w:locked/>
    <w:pPr>
      <w:keepNext/>
      <w:numPr>
        <w:numId w:val="8"/>
      </w:numPr>
      <w:shd w:val="clear" w:color="auto" w:fill="CCB6D9"/>
      <w:spacing w:before="240" w:after="240"/>
      <w:outlineLvl w:val="0"/>
    </w:pPr>
    <w:rPr>
      <w:rFonts w:eastAsia="Calibri"/>
      <w:b/>
      <w:bCs/>
      <w:caps/>
      <w:kern w:val="32"/>
      <w:szCs w:val="32"/>
    </w:rPr>
  </w:style>
  <w:style w:type="paragraph" w:styleId="Titre2">
    <w:name w:val="heading 2"/>
    <w:aliases w:val="Titre 2 - RAO,Specf Titre 2,Titre 21,t2.T2,t2,heading 2,Contrat 2,Ctt,H2,t2.T2.Titre 2,TITRE 2,Titre 2ed,l2,paragraphe,h2,Titre2,Heading 2 Hidden,T2,section,Titre niveau 2,Premier sous-titre,chapitre,Subhead A,Titre 211,t2.T21,t2.T22"/>
    <w:basedOn w:val="Mtexte1"/>
    <w:next w:val="Titre3"/>
    <w:link w:val="Titre2Car"/>
    <w:uiPriority w:val="9"/>
    <w:qFormat/>
    <w:locked/>
    <w:pPr>
      <w:numPr>
        <w:ilvl w:val="1"/>
        <w:numId w:val="8"/>
      </w:numPr>
      <w:shd w:val="clear" w:color="auto" w:fill="E5DFEC"/>
      <w:spacing w:before="240" w:after="120"/>
      <w:ind w:left="1569"/>
      <w:outlineLvl w:val="1"/>
    </w:pPr>
    <w:rPr>
      <w:b/>
      <w:smallCaps/>
    </w:rPr>
  </w:style>
  <w:style w:type="paragraph" w:styleId="Titre3">
    <w:name w:val="heading 3"/>
    <w:aliases w:val="H3,Titre 31,t3.T3,heading 3,Titre 3+,Titre niveau 3,t3,Contrat 3,Titre 3 SQ,Titre 3 SQ1,Titre 3 SQ2,Titre 3 SQ3,Titre 3 SQ4,Titre 3 SQ5,Titre 3 SQ6,Titre 3 SQ7,Titre3,h3,T3,Heading 3 - old,numéroté  1.1.1,l3,CT,3,Section,Section1,TI3"/>
    <w:basedOn w:val="Normal"/>
    <w:next w:val="Normal"/>
    <w:link w:val="Titre3Car"/>
    <w:uiPriority w:val="9"/>
    <w:qFormat/>
    <w:locked/>
    <w:pPr>
      <w:keepNext/>
      <w:numPr>
        <w:ilvl w:val="2"/>
        <w:numId w:val="8"/>
      </w:numPr>
      <w:shd w:val="clear" w:color="auto" w:fill="EBE3E7"/>
      <w:spacing w:before="240" w:after="60"/>
      <w:ind w:left="2138"/>
      <w:outlineLvl w:val="2"/>
    </w:pPr>
    <w:rPr>
      <w:rFonts w:cs="Arial"/>
      <w:b/>
      <w:bCs/>
      <w:szCs w:val="26"/>
      <w:u w:val="single"/>
    </w:rPr>
  </w:style>
  <w:style w:type="paragraph" w:styleId="Titre4">
    <w:name w:val="heading 4"/>
    <w:basedOn w:val="Normal"/>
    <w:next w:val="Normal"/>
    <w:link w:val="Titre4Car"/>
    <w:autoRedefine/>
    <w:locked/>
    <w:pPr>
      <w:numPr>
        <w:ilvl w:val="3"/>
        <w:numId w:val="3"/>
      </w:numPr>
      <w:spacing w:before="300" w:line="276" w:lineRule="auto"/>
      <w:outlineLvl w:val="3"/>
    </w:pPr>
    <w:rPr>
      <w:rFonts w:eastAsia="Calibri"/>
      <w:spacing w:val="10"/>
      <w:szCs w:val="22"/>
    </w:rPr>
  </w:style>
  <w:style w:type="paragraph" w:styleId="Titre5">
    <w:name w:val="heading 5"/>
    <w:basedOn w:val="Normal"/>
    <w:next w:val="Normal"/>
    <w:link w:val="Titre5Car"/>
    <w:locked/>
    <w:pPr>
      <w:pBdr>
        <w:bottom w:val="single" w:sz="6" w:space="1" w:color="4F81BD"/>
      </w:pBdr>
      <w:spacing w:before="300" w:line="276" w:lineRule="auto"/>
      <w:ind w:left="2880"/>
      <w:outlineLvl w:val="4"/>
    </w:pPr>
    <w:rPr>
      <w:caps/>
      <w:color w:val="365F91"/>
      <w:spacing w:val="10"/>
      <w:szCs w:val="22"/>
    </w:rPr>
  </w:style>
  <w:style w:type="paragraph" w:styleId="Titre6">
    <w:name w:val="heading 6"/>
    <w:basedOn w:val="Normal"/>
    <w:next w:val="Normal"/>
    <w:link w:val="Titre6Car"/>
    <w:pPr>
      <w:keepNext/>
      <w:ind w:left="1440"/>
      <w:outlineLvl w:val="5"/>
    </w:pPr>
    <w:rPr>
      <w:b/>
    </w:rPr>
  </w:style>
  <w:style w:type="paragraph" w:styleId="Titre7">
    <w:name w:val="heading 7"/>
    <w:basedOn w:val="Normal"/>
    <w:next w:val="Normal"/>
    <w:link w:val="Titre7Car"/>
    <w:locked/>
    <w:pPr>
      <w:spacing w:before="240" w:after="60"/>
      <w:outlineLvl w:val="6"/>
    </w:pPr>
  </w:style>
  <w:style w:type="paragraph" w:styleId="Titre8">
    <w:name w:val="heading 8"/>
    <w:basedOn w:val="Normal"/>
    <w:next w:val="Normal"/>
    <w:link w:val="Titre8Car"/>
    <w:uiPriority w:val="9"/>
    <w:qFormat/>
    <w:locked/>
    <w:pPr>
      <w:spacing w:before="300" w:line="276" w:lineRule="auto"/>
      <w:ind w:left="5040"/>
      <w:outlineLvl w:val="7"/>
    </w:pPr>
    <w:rPr>
      <w:caps/>
      <w:spacing w:val="10"/>
      <w:sz w:val="18"/>
      <w:szCs w:val="18"/>
    </w:rPr>
  </w:style>
  <w:style w:type="paragraph" w:styleId="Titre9">
    <w:name w:val="heading 9"/>
    <w:basedOn w:val="Normal"/>
    <w:next w:val="Normal"/>
    <w:link w:val="Titre9Car"/>
    <w:uiPriority w:val="9"/>
    <w:qFormat/>
    <w:locked/>
    <w:pPr>
      <w:spacing w:before="300" w:line="276" w:lineRule="auto"/>
      <w:ind w:left="576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1 Car,TITRE1 Car,heading 1 Car,Titre 11 Car,t1.T1.Titre 1 Car,Titre 1ed Car,t1.T1.Titre 1Annexe Car,11.CONDITIONS FINANCIERES Car,t1.T1 Car,stydde Car,1titre Car,1titre1 Car,1titre2 Car,1titre3 Car,1titre4 Car,1titre5 Car,1titre6 Car,H Car"/>
    <w:link w:val="Titre1"/>
    <w:uiPriority w:val="9"/>
    <w:locked/>
    <w:rPr>
      <w:rFonts w:ascii="Calibri" w:eastAsia="Calibri" w:hAnsi="Calibri"/>
      <w:b/>
      <w:bCs/>
      <w:caps/>
      <w:kern w:val="32"/>
      <w:sz w:val="22"/>
      <w:szCs w:val="32"/>
      <w:shd w:val="clear" w:color="auto" w:fill="CCB6D9"/>
      <w:lang w:eastAsia="fr-FR"/>
    </w:rPr>
  </w:style>
  <w:style w:type="character" w:customStyle="1" w:styleId="Titre2Car">
    <w:name w:val="Titre 2 Car"/>
    <w:aliases w:val="Titre 2 - RAO Car,Specf Titre 2 Car,Titre 21 Car,t2.T2 Car,t2 Car,heading 2 Car,Contrat 2 Car,Ctt Car,H2 Car,t2.T2.Titre 2 Car,TITRE 2 Car,Titre 2ed Car,l2 Car,paragraphe Car,h2 Car,Titre2 Car,Heading 2 Hidden Car,T2 Car,section Car"/>
    <w:link w:val="Titre2"/>
    <w:uiPriority w:val="9"/>
    <w:locked/>
    <w:rPr>
      <w:rFonts w:ascii="Calibri" w:eastAsia="Calibri" w:hAnsi="Calibri" w:cs="Calibri"/>
      <w:b/>
      <w:smallCaps/>
      <w:sz w:val="22"/>
      <w:szCs w:val="22"/>
      <w:shd w:val="clear" w:color="auto" w:fill="E5DFEC"/>
      <w:lang w:eastAsia="en-US"/>
    </w:rPr>
  </w:style>
  <w:style w:type="character" w:customStyle="1" w:styleId="Titre3Car">
    <w:name w:val="Titre 3 Car"/>
    <w:aliases w:val="H3 Car,Titre 31 Car,t3.T3 Car,heading 3 Car,Titre 3+ Car,Titre niveau 3 Car,t3 Car,Contrat 3 Car,Titre 3 SQ Car,Titre 3 SQ1 Car,Titre 3 SQ2 Car,Titre 3 SQ3 Car,Titre 3 SQ4 Car,Titre 3 SQ5 Car,Titre 3 SQ6 Car,Titre 3 SQ7 Car,Titre3 Car,h3 Car"/>
    <w:link w:val="Titre3"/>
    <w:uiPriority w:val="9"/>
    <w:locked/>
    <w:rPr>
      <w:rFonts w:ascii="Calibri" w:hAnsi="Calibri" w:cs="Arial"/>
      <w:b/>
      <w:bCs/>
      <w:sz w:val="22"/>
      <w:szCs w:val="26"/>
      <w:u w:val="single"/>
      <w:shd w:val="clear" w:color="auto" w:fill="EBE3E7"/>
      <w:lang w:eastAsia="fr-FR"/>
    </w:rPr>
  </w:style>
  <w:style w:type="character" w:customStyle="1" w:styleId="Titre6Car">
    <w:name w:val="Titre 6 Car"/>
    <w:link w:val="Titre6"/>
    <w:locked/>
    <w:rPr>
      <w:rFonts w:ascii="Calibri" w:hAnsi="Calibri" w:cs="Times New Roman"/>
      <w:b/>
      <w:bCs/>
    </w:rPr>
  </w:style>
  <w:style w:type="character" w:customStyle="1" w:styleId="Titre7Car">
    <w:name w:val="Titre 7 Car"/>
    <w:link w:val="Titre7"/>
    <w:locked/>
    <w:rPr>
      <w:rFonts w:ascii="Calibri" w:hAnsi="Calibri" w:cs="Times New Roman"/>
      <w:sz w:val="24"/>
      <w:szCs w:val="24"/>
    </w:rPr>
  </w:style>
  <w:style w:type="paragraph" w:styleId="TM1">
    <w:name w:val="toc 1"/>
    <w:basedOn w:val="Normal"/>
    <w:next w:val="Normal"/>
    <w:uiPriority w:val="39"/>
    <w:qFormat/>
    <w:pPr>
      <w:spacing w:before="120" w:after="120"/>
      <w:jc w:val="left"/>
    </w:pPr>
    <w:rPr>
      <w:rFonts w:asciiTheme="minorHAnsi" w:hAnsiTheme="minorHAnsi" w:cstheme="minorHAnsi"/>
      <w:b/>
      <w:bCs/>
      <w:caps/>
      <w:sz w:val="20"/>
      <w:szCs w:val="20"/>
    </w:rPr>
  </w:style>
  <w:style w:type="paragraph" w:styleId="TM2">
    <w:name w:val="toc 2"/>
    <w:basedOn w:val="Normal"/>
    <w:next w:val="Normal"/>
    <w:uiPriority w:val="39"/>
    <w:qFormat/>
    <w:pPr>
      <w:ind w:left="220"/>
      <w:jc w:val="left"/>
    </w:pPr>
    <w:rPr>
      <w:rFonts w:asciiTheme="minorHAnsi" w:hAnsiTheme="minorHAnsi" w:cstheme="minorHAnsi"/>
      <w:smallCaps/>
      <w:sz w:val="20"/>
      <w:szCs w:val="20"/>
    </w:rPr>
  </w:style>
  <w:style w:type="paragraph" w:styleId="TM3">
    <w:name w:val="toc 3"/>
    <w:basedOn w:val="Normal"/>
    <w:next w:val="Normal"/>
    <w:uiPriority w:val="39"/>
    <w:qFormat/>
    <w:pPr>
      <w:ind w:left="440"/>
      <w:jc w:val="left"/>
    </w:pPr>
    <w:rPr>
      <w:rFonts w:asciiTheme="minorHAnsi" w:hAnsiTheme="minorHAnsi" w:cstheme="minorHAnsi"/>
      <w:i/>
      <w:iCs/>
      <w:sz w:val="20"/>
      <w:szCs w:val="20"/>
    </w:rPr>
  </w:style>
  <w:style w:type="paragraph" w:styleId="TM4">
    <w:name w:val="toc 4"/>
    <w:basedOn w:val="Normal"/>
    <w:next w:val="Normal"/>
    <w:uiPriority w:val="39"/>
    <w:pPr>
      <w:ind w:left="660"/>
      <w:jc w:val="left"/>
    </w:pPr>
    <w:rPr>
      <w:rFonts w:asciiTheme="minorHAnsi" w:hAnsiTheme="minorHAnsi" w:cstheme="minorHAnsi"/>
      <w:sz w:val="18"/>
      <w:szCs w:val="18"/>
    </w:rPr>
  </w:style>
  <w:style w:type="paragraph" w:styleId="TM5">
    <w:name w:val="toc 5"/>
    <w:basedOn w:val="Normal"/>
    <w:next w:val="Normal"/>
    <w:semiHidden/>
    <w:pPr>
      <w:ind w:left="880"/>
      <w:jc w:val="left"/>
    </w:pPr>
    <w:rPr>
      <w:rFonts w:asciiTheme="minorHAnsi" w:hAnsiTheme="minorHAnsi" w:cstheme="minorHAnsi"/>
      <w:sz w:val="18"/>
      <w:szCs w:val="18"/>
    </w:rPr>
  </w:style>
  <w:style w:type="paragraph" w:styleId="TM6">
    <w:name w:val="toc 6"/>
    <w:basedOn w:val="Normal"/>
    <w:next w:val="Normal"/>
    <w:semiHidden/>
    <w:pPr>
      <w:ind w:left="1100"/>
      <w:jc w:val="left"/>
    </w:pPr>
    <w:rPr>
      <w:rFonts w:asciiTheme="minorHAnsi" w:hAnsiTheme="minorHAnsi" w:cstheme="minorHAnsi"/>
      <w:sz w:val="18"/>
      <w:szCs w:val="18"/>
    </w:rPr>
  </w:style>
  <w:style w:type="paragraph" w:styleId="TM7">
    <w:name w:val="toc 7"/>
    <w:basedOn w:val="Normal"/>
    <w:next w:val="Normal"/>
    <w:semiHidden/>
    <w:pPr>
      <w:ind w:left="1320"/>
      <w:jc w:val="left"/>
    </w:pPr>
    <w:rPr>
      <w:rFonts w:asciiTheme="minorHAnsi" w:hAnsiTheme="minorHAnsi" w:cstheme="minorHAnsi"/>
      <w:sz w:val="18"/>
      <w:szCs w:val="18"/>
    </w:rPr>
  </w:style>
  <w:style w:type="paragraph" w:styleId="TM8">
    <w:name w:val="toc 8"/>
    <w:basedOn w:val="Normal"/>
    <w:next w:val="Normal"/>
    <w:semiHidden/>
    <w:pPr>
      <w:ind w:left="1540"/>
      <w:jc w:val="left"/>
    </w:pPr>
    <w:rPr>
      <w:rFonts w:asciiTheme="minorHAnsi" w:hAnsiTheme="minorHAnsi" w:cstheme="minorHAnsi"/>
      <w:sz w:val="18"/>
      <w:szCs w:val="18"/>
    </w:rPr>
  </w:style>
  <w:style w:type="paragraph" w:styleId="TM9">
    <w:name w:val="toc 9"/>
    <w:basedOn w:val="Normal"/>
    <w:next w:val="Normal"/>
    <w:semiHidden/>
    <w:pPr>
      <w:ind w:left="1760"/>
      <w:jc w:val="left"/>
    </w:pPr>
    <w:rPr>
      <w:rFonts w:asciiTheme="minorHAnsi" w:hAnsiTheme="minorHAnsi" w:cstheme="minorHAnsi"/>
      <w:sz w:val="18"/>
      <w:szCs w:val="18"/>
    </w:rPr>
  </w:style>
  <w:style w:type="paragraph" w:styleId="Retraitcorpsdetexte2">
    <w:name w:val="Body Text Indent 2"/>
    <w:basedOn w:val="Normal"/>
    <w:link w:val="Retraitcorpsdetexte2Car"/>
    <w:uiPriority w:val="99"/>
    <w:semiHidden/>
    <w:pPr>
      <w:ind w:left="540"/>
    </w:pPr>
  </w:style>
  <w:style w:type="character" w:customStyle="1" w:styleId="Retraitcorpsdetexte2Car">
    <w:name w:val="Retrait corps de texte 2 Car"/>
    <w:link w:val="Retraitcorpsdetexte2"/>
    <w:uiPriority w:val="99"/>
    <w:semiHidden/>
    <w:locked/>
    <w:rPr>
      <w:rFonts w:cs="Times New Roman"/>
      <w:sz w:val="24"/>
      <w:szCs w:val="24"/>
    </w:rPr>
  </w:style>
  <w:style w:type="paragraph" w:customStyle="1" w:styleId="CHAPITRE">
    <w:name w:val="CHAPITRE"/>
    <w:basedOn w:val="Normal"/>
    <w:next w:val="Titre1"/>
    <w:link w:val="CHAPITRECar"/>
    <w:qFormat/>
    <w:pPr>
      <w:shd w:val="clear" w:color="auto" w:fill="B2A1C7"/>
      <w:suppressAutoHyphens/>
      <w:spacing w:before="240" w:after="240"/>
      <w:jc w:val="center"/>
    </w:pPr>
    <w:rPr>
      <w:b/>
      <w:sz w:val="32"/>
      <w:u w:val="single"/>
      <w:lang w:eastAsia="ar-SA"/>
    </w:rPr>
  </w:style>
  <w:style w:type="paragraph" w:customStyle="1" w:styleId="Mtitrarticle">
    <w:name w:val="Mtitrarticle"/>
    <w:next w:val="CHAPITRE"/>
    <w:uiPriority w:val="99"/>
    <w:pPr>
      <w:numPr>
        <w:numId w:val="1"/>
      </w:numPr>
      <w:shd w:val="clear" w:color="auto" w:fill="BFBFBF"/>
      <w:tabs>
        <w:tab w:val="left" w:pos="0"/>
        <w:tab w:val="left" w:pos="567"/>
        <w:tab w:val="left" w:pos="1134"/>
      </w:tabs>
      <w:suppressAutoHyphens/>
      <w:spacing w:before="480" w:after="280"/>
      <w:ind w:left="-3319"/>
    </w:pPr>
    <w:rPr>
      <w:rFonts w:ascii="Gill Sans Extra Bold" w:hAnsi="Gill Sans Extra Bold"/>
      <w:b/>
      <w:bCs/>
      <w:caps/>
      <w:spacing w:val="-20"/>
      <w:sz w:val="24"/>
      <w:szCs w:val="24"/>
      <w:lang w:eastAsia="ar-SA"/>
    </w:rPr>
  </w:style>
  <w:style w:type="paragraph" w:styleId="Corpsdetexte3">
    <w:name w:val="Body Text 3"/>
    <w:basedOn w:val="Normal"/>
    <w:link w:val="Corpsdetexte3Car"/>
    <w:uiPriority w:val="99"/>
    <w:semiHidden/>
    <w:pPr>
      <w:suppressAutoHyphens/>
    </w:pPr>
    <w:rPr>
      <w:szCs w:val="28"/>
      <w:lang w:eastAsia="ar-SA"/>
    </w:rPr>
  </w:style>
  <w:style w:type="character" w:customStyle="1" w:styleId="Corpsdetexte3Car">
    <w:name w:val="Corps de texte 3 Car"/>
    <w:link w:val="Corpsdetexte3"/>
    <w:uiPriority w:val="99"/>
    <w:semiHidden/>
    <w:locked/>
    <w:rPr>
      <w:rFonts w:cs="Times New Roman"/>
      <w:sz w:val="16"/>
      <w:szCs w:val="16"/>
    </w:rPr>
  </w:style>
  <w:style w:type="paragraph" w:styleId="Pieddepage">
    <w:name w:val="footer"/>
    <w:basedOn w:val="Normal"/>
    <w:link w:val="PieddepageCar"/>
    <w:pPr>
      <w:tabs>
        <w:tab w:val="center" w:pos="4536"/>
        <w:tab w:val="right" w:pos="9072"/>
      </w:tabs>
      <w:suppressAutoHyphens/>
    </w:pPr>
    <w:rPr>
      <w:szCs w:val="20"/>
      <w:lang w:eastAsia="ar-SA"/>
    </w:rPr>
  </w:style>
  <w:style w:type="character" w:customStyle="1" w:styleId="PieddepageCar">
    <w:name w:val="Pied de page Car"/>
    <w:link w:val="Pieddepage"/>
    <w:uiPriority w:val="99"/>
    <w:locked/>
    <w:rPr>
      <w:rFonts w:cs="Times New Roman"/>
      <w:sz w:val="24"/>
      <w:szCs w:val="24"/>
    </w:rPr>
  </w:style>
  <w:style w:type="paragraph" w:styleId="Textedebulles">
    <w:name w:val="Balloon Text"/>
    <w:basedOn w:val="Normal"/>
    <w:link w:val="TextedebullesCar"/>
    <w:pPr>
      <w:suppressAutoHyphens/>
    </w:pPr>
    <w:rPr>
      <w:rFonts w:ascii="Tahoma" w:hAnsi="Tahoma" w:cs="Tahoma"/>
      <w:sz w:val="16"/>
      <w:szCs w:val="16"/>
      <w:lang w:eastAsia="ar-SA"/>
    </w:rPr>
  </w:style>
  <w:style w:type="character" w:customStyle="1" w:styleId="TextedebullesCar">
    <w:name w:val="Texte de bulles Car"/>
    <w:link w:val="Textedebulles"/>
    <w:locked/>
    <w:rPr>
      <w:rFonts w:cs="Times New Roman"/>
      <w:sz w:val="2"/>
    </w:rPr>
  </w:style>
  <w:style w:type="paragraph" w:customStyle="1" w:styleId="Msstitre">
    <w:name w:val="Msstitre"/>
    <w:next w:val="CHAPITRE"/>
    <w:pPr>
      <w:tabs>
        <w:tab w:val="num" w:pos="0"/>
      </w:tabs>
      <w:suppressAutoHyphens/>
      <w:spacing w:after="120"/>
      <w:ind w:left="-1986"/>
    </w:pPr>
    <w:rPr>
      <w:rFonts w:ascii="Gill Sans Extra Bold" w:hAnsi="Gill Sans Extra Bold"/>
      <w:caps/>
      <w:spacing w:val="-20"/>
      <w:sz w:val="22"/>
      <w:szCs w:val="22"/>
      <w:lang w:eastAsia="ar-SA"/>
    </w:rPr>
  </w:style>
  <w:style w:type="character" w:styleId="Numrodepage">
    <w:name w:val="page number"/>
    <w:semiHidden/>
    <w:rPr>
      <w:rFonts w:cs="Times New Roman"/>
    </w:rPr>
  </w:style>
  <w:style w:type="character" w:customStyle="1" w:styleId="WW-Policepardfaut1">
    <w:name w:val="WW-Police par défaut1"/>
    <w:uiPriority w:val="99"/>
  </w:style>
  <w:style w:type="paragraph" w:styleId="En-tte">
    <w:name w:val="header"/>
    <w:basedOn w:val="Normal"/>
    <w:link w:val="En-tteCar"/>
    <w:uiPriority w:val="99"/>
    <w:pPr>
      <w:tabs>
        <w:tab w:val="center" w:pos="4536"/>
        <w:tab w:val="right" w:pos="9072"/>
      </w:tabs>
      <w:suppressAutoHyphens/>
    </w:pPr>
    <w:rPr>
      <w:sz w:val="28"/>
      <w:szCs w:val="28"/>
      <w:lang w:eastAsia="ar-SA"/>
    </w:rPr>
  </w:style>
  <w:style w:type="character" w:customStyle="1" w:styleId="En-tteCar">
    <w:name w:val="En-tête Car"/>
    <w:link w:val="En-tte"/>
    <w:uiPriority w:val="99"/>
    <w:locked/>
    <w:rPr>
      <w:rFonts w:cs="Times New Roman"/>
      <w:sz w:val="24"/>
      <w:szCs w:val="24"/>
    </w:rPr>
  </w:style>
  <w:style w:type="paragraph" w:styleId="Corpsdetexte">
    <w:name w:val="Body Text"/>
    <w:basedOn w:val="Normal"/>
    <w:link w:val="CorpsdetexteCar"/>
    <w:rPr>
      <w:szCs w:val="20"/>
    </w:rPr>
  </w:style>
  <w:style w:type="character" w:customStyle="1" w:styleId="CorpsdetexteCar">
    <w:name w:val="Corps de texte Car"/>
    <w:link w:val="Corpsdetexte"/>
    <w:locked/>
    <w:rPr>
      <w:rFonts w:cs="Times New Roman"/>
      <w:sz w:val="24"/>
      <w:szCs w:val="24"/>
    </w:rPr>
  </w:style>
  <w:style w:type="paragraph" w:customStyle="1" w:styleId="Corpsdetexte31">
    <w:name w:val="Corps de texte 31"/>
    <w:basedOn w:val="Normal"/>
    <w:pPr>
      <w:ind w:right="-2"/>
    </w:pPr>
    <w:rPr>
      <w:szCs w:val="20"/>
    </w:rPr>
  </w:style>
  <w:style w:type="paragraph" w:styleId="Corpsdetexte2">
    <w:name w:val="Body Text 2"/>
    <w:basedOn w:val="Normal"/>
    <w:link w:val="Corpsdetexte2Car"/>
    <w:uiPriority w:val="99"/>
    <w:semiHidden/>
  </w:style>
  <w:style w:type="character" w:customStyle="1" w:styleId="Corpsdetexte2Car">
    <w:name w:val="Corps de texte 2 Car"/>
    <w:link w:val="Corpsdetexte2"/>
    <w:uiPriority w:val="99"/>
    <w:semiHidden/>
    <w:locked/>
    <w:rPr>
      <w:rFonts w:cs="Times New Roman"/>
      <w:sz w:val="24"/>
      <w:szCs w:val="24"/>
    </w:rPr>
  </w:style>
  <w:style w:type="character" w:styleId="Marquedecommentaire">
    <w:name w:val="annotation reference"/>
    <w:rPr>
      <w:rFonts w:cs="Times New Roman"/>
      <w:sz w:val="16"/>
      <w:szCs w:val="16"/>
    </w:rPr>
  </w:style>
  <w:style w:type="paragraph" w:styleId="Commentaire">
    <w:name w:val="annotation text"/>
    <w:basedOn w:val="Normal"/>
    <w:link w:val="CommentaireCar1"/>
    <w:uiPriority w:val="99"/>
    <w:rPr>
      <w:szCs w:val="20"/>
    </w:rPr>
  </w:style>
  <w:style w:type="character" w:customStyle="1" w:styleId="CommentaireCar1">
    <w:name w:val="Commentaire Car1"/>
    <w:link w:val="Commentaire"/>
    <w:uiPriority w:val="99"/>
    <w:semiHidden/>
    <w:locked/>
    <w:rPr>
      <w:rFonts w:cs="Times New Roman"/>
      <w:sz w:val="20"/>
      <w:szCs w:val="20"/>
    </w:rPr>
  </w:style>
  <w:style w:type="character" w:customStyle="1" w:styleId="CommentaireCar">
    <w:name w:val="Commentaire Car"/>
    <w:uiPriority w:val="99"/>
    <w:rPr>
      <w:rFonts w:cs="Times New Roman"/>
    </w:rPr>
  </w:style>
  <w:style w:type="paragraph" w:styleId="Objetducommentaire">
    <w:name w:val="annotation subject"/>
    <w:basedOn w:val="Commentaire"/>
    <w:next w:val="Commentaire"/>
    <w:link w:val="ObjetducommentaireCar1"/>
    <w:rPr>
      <w:b/>
      <w:bCs/>
    </w:rPr>
  </w:style>
  <w:style w:type="character" w:customStyle="1" w:styleId="ObjetducommentaireCar1">
    <w:name w:val="Objet du commentaire Car1"/>
    <w:link w:val="Objetducommentaire"/>
    <w:uiPriority w:val="99"/>
    <w:semiHidden/>
    <w:locked/>
    <w:rPr>
      <w:rFonts w:cs="Times New Roman"/>
      <w:b/>
      <w:bCs/>
      <w:sz w:val="20"/>
      <w:szCs w:val="20"/>
    </w:rPr>
  </w:style>
  <w:style w:type="character" w:customStyle="1" w:styleId="ObjetducommentaireCar">
    <w:name w:val="Objet du commentaire Car"/>
    <w:rPr>
      <w:rFonts w:cs="Times New Roman"/>
      <w:b/>
      <w:bCs/>
    </w:rPr>
  </w:style>
  <w:style w:type="paragraph" w:customStyle="1" w:styleId="Normal2">
    <w:name w:val="Normal2"/>
    <w:basedOn w:val="Normal"/>
    <w:link w:val="Normal2Car"/>
    <w:pPr>
      <w:keepLines/>
      <w:tabs>
        <w:tab w:val="left" w:pos="567"/>
        <w:tab w:val="left" w:pos="851"/>
        <w:tab w:val="left" w:pos="1134"/>
      </w:tabs>
      <w:ind w:left="284" w:firstLine="284"/>
    </w:pPr>
    <w:rPr>
      <w:szCs w:val="20"/>
    </w:rPr>
  </w:style>
  <w:style w:type="paragraph" w:customStyle="1" w:styleId="RedPara">
    <w:name w:val="RedPara"/>
    <w:basedOn w:val="Normal"/>
    <w:pPr>
      <w:spacing w:before="120" w:after="60"/>
    </w:pPr>
    <w:rPr>
      <w:rFonts w:ascii="Arial" w:hAnsi="Arial" w:cs="Arial"/>
      <w:b/>
      <w:bCs/>
      <w:szCs w:val="22"/>
      <w:lang w:val="en-US" w:eastAsia="en-US"/>
    </w:rPr>
  </w:style>
  <w:style w:type="paragraph" w:customStyle="1" w:styleId="RedTxt">
    <w:name w:val="RedTxt"/>
    <w:basedOn w:val="Normal"/>
    <w:link w:val="RedTxtCar"/>
    <w:rPr>
      <w:rFonts w:ascii="Arial" w:hAnsi="Arial" w:cs="Arial"/>
      <w:sz w:val="18"/>
      <w:szCs w:val="18"/>
      <w:lang w:val="en-US" w:eastAsia="en-US"/>
    </w:rPr>
  </w:style>
  <w:style w:type="paragraph" w:styleId="Paragraphedeliste">
    <w:name w:val="List Paragraph"/>
    <w:aliases w:val="§norme,Resume Title,Paragraphe de liste N1,lp1,Bullet Niv 1,Paragraphe de liste num,Paragraphe de liste 1,Puce focus,Tab n1,Legende,texte de base,normal,Paragraphe liste 1,Bull - Bullet niveau 1,Lettre d'introduction,Paragrafo elenco"/>
    <w:basedOn w:val="Normal"/>
    <w:link w:val="ParagraphedelisteCar"/>
    <w:uiPriority w:val="34"/>
    <w:qFormat/>
    <w:pPr>
      <w:ind w:left="720"/>
      <w:contextualSpacing/>
    </w:pPr>
  </w:style>
  <w:style w:type="paragraph" w:styleId="NormalWeb">
    <w:name w:val="Normal (Web)"/>
    <w:basedOn w:val="Normal"/>
    <w:uiPriority w:val="99"/>
    <w:pPr>
      <w:spacing w:before="100" w:beforeAutospacing="1" w:after="119"/>
    </w:pPr>
  </w:style>
  <w:style w:type="paragraph" w:styleId="En-ttedetabledesmatires">
    <w:name w:val="TOC Heading"/>
    <w:basedOn w:val="Titre1"/>
    <w:next w:val="Normal"/>
    <w:uiPriority w:val="39"/>
    <w:qFormat/>
    <w:pPr>
      <w:keepLines/>
      <w:spacing w:before="480" w:after="0" w:line="276" w:lineRule="auto"/>
      <w:outlineLvl w:val="9"/>
    </w:pPr>
    <w:rPr>
      <w:color w:val="365F91"/>
      <w:kern w:val="0"/>
      <w:sz w:val="28"/>
      <w:szCs w:val="28"/>
      <w:lang w:eastAsia="en-US"/>
    </w:rPr>
  </w:style>
  <w:style w:type="table" w:styleId="Grilledutableau">
    <w:name w:val="Table Grid"/>
    <w:basedOn w:val="TableauNormal"/>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Arial" w:hAnsi="Arial" w:cs="Arial"/>
      <w:color w:val="000000"/>
      <w:sz w:val="24"/>
      <w:szCs w:val="24"/>
      <w:lang w:eastAsia="fr-FR"/>
    </w:rPr>
  </w:style>
  <w:style w:type="character" w:styleId="Lienhypertexte">
    <w:name w:val="Hyperlink"/>
    <w:uiPriority w:val="99"/>
    <w:rPr>
      <w:rFonts w:cs="Times New Roman"/>
      <w:color w:val="0000FF"/>
      <w:u w:val="single"/>
    </w:rPr>
  </w:style>
  <w:style w:type="character" w:customStyle="1" w:styleId="CarCar11">
    <w:name w:val="Car Car11"/>
    <w:uiPriority w:val="99"/>
    <w:locked/>
    <w:rPr>
      <w:rFonts w:ascii="Trebuchet MS" w:hAnsi="Trebuchet MS"/>
      <w:color w:val="333333"/>
      <w:sz w:val="24"/>
    </w:rPr>
  </w:style>
  <w:style w:type="paragraph" w:customStyle="1" w:styleId="Nom">
    <w:name w:val="Nom"/>
    <w:basedOn w:val="Normal"/>
    <w:next w:val="Normal"/>
    <w:uiPriority w:val="99"/>
    <w:pPr>
      <w:spacing w:before="200" w:after="200" w:line="276" w:lineRule="auto"/>
      <w:jc w:val="center"/>
    </w:pPr>
    <w:rPr>
      <w:rFonts w:ascii="Arial" w:hAnsi="Arial" w:cs="Arial"/>
      <w:b/>
      <w:bCs/>
      <w:sz w:val="28"/>
      <w:szCs w:val="28"/>
    </w:rPr>
  </w:style>
  <w:style w:type="character" w:customStyle="1" w:styleId="CHAPITRECar">
    <w:name w:val="CHAPITRE Car"/>
    <w:link w:val="CHAPITRE"/>
    <w:rPr>
      <w:rFonts w:ascii="Calibri" w:hAnsi="Calibri"/>
      <w:b/>
      <w:sz w:val="32"/>
      <w:szCs w:val="24"/>
      <w:u w:val="single"/>
      <w:shd w:val="clear" w:color="auto" w:fill="B2A1C7"/>
      <w:lang w:eastAsia="ar-SA"/>
    </w:rPr>
  </w:style>
  <w:style w:type="character" w:customStyle="1" w:styleId="cattexte1">
    <w:name w:val="cattexte1"/>
    <w:rPr>
      <w:rFonts w:ascii="Verdana" w:hAnsi="Verdana" w:hint="default"/>
      <w:i w:val="0"/>
      <w:iCs w:val="0"/>
      <w:strike w:val="0"/>
      <w:dstrike w:val="0"/>
      <w:color w:val="110D0E"/>
      <w:sz w:val="16"/>
      <w:szCs w:val="16"/>
      <w:u w:val="none"/>
      <w:effect w:val="none"/>
    </w:rPr>
  </w:style>
  <w:style w:type="character" w:customStyle="1" w:styleId="Normal2Car">
    <w:name w:val="Normal2 Car"/>
    <w:link w:val="Normal2"/>
    <w:rPr>
      <w:szCs w:val="20"/>
    </w:rPr>
  </w:style>
  <w:style w:type="character" w:styleId="Appelnotedebasdep">
    <w:name w:val="footnote reference"/>
    <w:uiPriority w:val="99"/>
    <w:unhideWhenUsed/>
    <w:rPr>
      <w:vertAlign w:val="superscript"/>
    </w:rPr>
  </w:style>
  <w:style w:type="paragraph" w:styleId="Sansinterligne">
    <w:name w:val="No Spacing"/>
    <w:link w:val="SansinterligneCar"/>
    <w:uiPriority w:val="1"/>
    <w:pPr>
      <w:widowControl w:val="0"/>
      <w:autoSpaceDE w:val="0"/>
      <w:autoSpaceDN w:val="0"/>
    </w:pPr>
    <w:rPr>
      <w:sz w:val="22"/>
      <w:szCs w:val="22"/>
      <w:lang w:val="en-US" w:eastAsia="en-US"/>
    </w:rPr>
  </w:style>
  <w:style w:type="paragraph" w:styleId="Rvision">
    <w:name w:val="Revision"/>
    <w:hidden/>
    <w:rPr>
      <w:sz w:val="24"/>
      <w:szCs w:val="24"/>
      <w:lang w:eastAsia="fr-FR"/>
    </w:rPr>
  </w:style>
  <w:style w:type="character" w:styleId="Lienhypertextesuivivisit">
    <w:name w:val="FollowedHyperlink"/>
    <w:semiHidden/>
    <w:unhideWhenUsed/>
    <w:rPr>
      <w:color w:val="800080"/>
      <w:u w:val="single"/>
    </w:rPr>
  </w:style>
  <w:style w:type="paragraph" w:styleId="Retraitcorpsdetexte">
    <w:name w:val="Body Text Indent"/>
    <w:basedOn w:val="Normal"/>
    <w:link w:val="RetraitcorpsdetexteCar"/>
    <w:unhideWhenUsed/>
    <w:pPr>
      <w:spacing w:after="120"/>
      <w:ind w:left="283"/>
    </w:pPr>
  </w:style>
  <w:style w:type="character" w:customStyle="1" w:styleId="RetraitcorpsdetexteCar">
    <w:name w:val="Retrait corps de texte Car"/>
    <w:link w:val="Retraitcorpsdetexte"/>
    <w:rPr>
      <w:rFonts w:ascii="Calibri" w:hAnsi="Calibri"/>
      <w:szCs w:val="24"/>
    </w:rPr>
  </w:style>
  <w:style w:type="character" w:customStyle="1" w:styleId="Titre4Car">
    <w:name w:val="Titre 4 Car"/>
    <w:link w:val="Titre4"/>
    <w:rPr>
      <w:rFonts w:ascii="Calibri" w:eastAsia="Calibri" w:hAnsi="Calibri"/>
      <w:spacing w:val="10"/>
      <w:sz w:val="22"/>
      <w:szCs w:val="22"/>
      <w:lang w:eastAsia="fr-FR"/>
    </w:rPr>
  </w:style>
  <w:style w:type="character" w:customStyle="1" w:styleId="Titre5Car">
    <w:name w:val="Titre 5 Car"/>
    <w:link w:val="Titre5"/>
    <w:rPr>
      <w:rFonts w:ascii="Calibri" w:hAnsi="Calibri"/>
      <w:caps/>
      <w:color w:val="365F91"/>
      <w:spacing w:val="10"/>
    </w:rPr>
  </w:style>
  <w:style w:type="character" w:customStyle="1" w:styleId="Titre8Car">
    <w:name w:val="Titre 8 Car"/>
    <w:link w:val="Titre8"/>
    <w:uiPriority w:val="9"/>
    <w:rPr>
      <w:rFonts w:ascii="Calibri" w:hAnsi="Calibri"/>
      <w:caps/>
      <w:spacing w:val="10"/>
      <w:sz w:val="18"/>
      <w:szCs w:val="18"/>
    </w:rPr>
  </w:style>
  <w:style w:type="character" w:customStyle="1" w:styleId="Titre9Car">
    <w:name w:val="Titre 9 Car"/>
    <w:link w:val="Titre9"/>
    <w:uiPriority w:val="9"/>
    <w:rPr>
      <w:rFonts w:ascii="Calibri" w:hAnsi="Calibri"/>
      <w:i/>
      <w:caps/>
      <w:spacing w:val="10"/>
      <w:sz w:val="18"/>
      <w:szCs w:val="18"/>
    </w:rPr>
  </w:style>
  <w:style w:type="character" w:styleId="Accentuationintense">
    <w:name w:val="Intense Emphasis"/>
    <w:uiPriority w:val="21"/>
    <w:qFormat/>
    <w:rPr>
      <w:b/>
      <w:bCs/>
      <w:caps/>
      <w:color w:val="243F60"/>
      <w:spacing w:val="10"/>
    </w:rPr>
  </w:style>
  <w:style w:type="paragraph" w:customStyle="1" w:styleId="RG1">
    <w:name w:val="RG1"/>
    <w:basedOn w:val="Normal"/>
    <w:pPr>
      <w:tabs>
        <w:tab w:val="left" w:pos="1120"/>
        <w:tab w:val="left" w:pos="1380"/>
        <w:tab w:val="left" w:pos="1700"/>
        <w:tab w:val="left" w:pos="2000"/>
        <w:tab w:val="left" w:pos="2260"/>
      </w:tabs>
      <w:spacing w:before="240" w:line="360" w:lineRule="atLeast"/>
      <w:ind w:left="560"/>
    </w:pPr>
    <w:rPr>
      <w:rFonts w:ascii="Times New Roman" w:hAnsi="Times New Roman"/>
      <w:szCs w:val="22"/>
    </w:rPr>
  </w:style>
  <w:style w:type="paragraph" w:customStyle="1" w:styleId="Style2">
    <w:name w:val="Style2"/>
    <w:basedOn w:val="Corpsdetexte"/>
    <w:link w:val="Style2Car"/>
    <w:pPr>
      <w:tabs>
        <w:tab w:val="right" w:leader="dot" w:pos="9072"/>
      </w:tabs>
      <w:spacing w:before="200" w:line="276" w:lineRule="auto"/>
      <w:jc w:val="left"/>
    </w:pPr>
    <w:rPr>
      <w:color w:val="333333"/>
      <w:szCs w:val="22"/>
      <w:lang w:val="x-none" w:eastAsia="x-none"/>
    </w:rPr>
  </w:style>
  <w:style w:type="character" w:customStyle="1" w:styleId="Style2Car">
    <w:name w:val="Style2 Car"/>
    <w:link w:val="Style2"/>
    <w:rPr>
      <w:rFonts w:ascii="Calibri" w:hAnsi="Calibri"/>
      <w:color w:val="333333"/>
      <w:lang w:val="x-none" w:eastAsia="x-none"/>
    </w:rPr>
  </w:style>
  <w:style w:type="paragraph" w:customStyle="1" w:styleId="Mtexte1">
    <w:name w:val="Mtexte1"/>
    <w:basedOn w:val="Normal"/>
    <w:link w:val="Mtexte1Car"/>
    <w:pPr>
      <w:tabs>
        <w:tab w:val="left" w:pos="993"/>
      </w:tabs>
    </w:pPr>
    <w:rPr>
      <w:rFonts w:eastAsia="Calibri" w:cs="Calibri"/>
      <w:szCs w:val="22"/>
      <w:lang w:eastAsia="en-US"/>
    </w:rPr>
  </w:style>
  <w:style w:type="character" w:customStyle="1" w:styleId="Mtexte1Car">
    <w:name w:val="Mtexte1 Car"/>
    <w:link w:val="Mtexte1"/>
    <w:rPr>
      <w:rFonts w:ascii="Calibri" w:eastAsia="Calibri" w:hAnsi="Calibri" w:cs="Calibri"/>
      <w:lang w:eastAsia="en-US"/>
    </w:rPr>
  </w:style>
  <w:style w:type="numbering" w:customStyle="1" w:styleId="MTITRE">
    <w:name w:val="MTITRE"/>
    <w:uiPriority w:val="99"/>
    <w:pPr>
      <w:numPr>
        <w:numId w:val="2"/>
      </w:numPr>
    </w:pPr>
  </w:style>
  <w:style w:type="paragraph" w:styleId="Titre">
    <w:name w:val="Title"/>
    <w:basedOn w:val="Normal"/>
    <w:next w:val="Normal"/>
    <w:link w:val="TitreCar"/>
    <w:locked/>
    <w:pPr>
      <w:contextualSpacing/>
    </w:pPr>
    <w:rPr>
      <w:rFonts w:ascii="Cambria" w:hAnsi="Cambria"/>
      <w:spacing w:val="-10"/>
      <w:kern w:val="28"/>
      <w:sz w:val="56"/>
      <w:szCs w:val="56"/>
    </w:rPr>
  </w:style>
  <w:style w:type="character" w:customStyle="1" w:styleId="TitreCar">
    <w:name w:val="Titre Car"/>
    <w:link w:val="Titre"/>
    <w:rPr>
      <w:rFonts w:ascii="Cambria" w:eastAsia="Times New Roman" w:hAnsi="Cambria" w:cs="Times New Roman"/>
      <w:spacing w:val="-10"/>
      <w:kern w:val="28"/>
      <w:sz w:val="56"/>
      <w:szCs w:val="56"/>
    </w:rPr>
  </w:style>
  <w:style w:type="character" w:styleId="Accentuation">
    <w:name w:val="Emphasis"/>
    <w:qFormat/>
    <w:locked/>
    <w:rPr>
      <w:i/>
      <w:iCs/>
    </w:rPr>
  </w:style>
  <w:style w:type="character" w:styleId="lev">
    <w:name w:val="Strong"/>
    <w:uiPriority w:val="22"/>
    <w:qFormat/>
    <w:locked/>
    <w:rPr>
      <w:b/>
      <w:bCs/>
    </w:rPr>
  </w:style>
  <w:style w:type="character" w:styleId="Rfrencelgre">
    <w:name w:val="Subtle Reference"/>
    <w:uiPriority w:val="31"/>
    <w:qFormat/>
    <w:rPr>
      <w:smallCaps/>
      <w:color w:val="5A5A5A"/>
    </w:rPr>
  </w:style>
  <w:style w:type="paragraph" w:styleId="Notedebasdepage">
    <w:name w:val="footnote text"/>
    <w:basedOn w:val="Normal"/>
    <w:link w:val="NotedebasdepageCar"/>
    <w:uiPriority w:val="99"/>
    <w:rPr>
      <w:rFonts w:ascii="Arial" w:hAnsi="Arial"/>
      <w:szCs w:val="20"/>
    </w:rPr>
  </w:style>
  <w:style w:type="character" w:customStyle="1" w:styleId="NotedebasdepageCar">
    <w:name w:val="Note de bas de page Car"/>
    <w:link w:val="Notedebasdepage"/>
    <w:uiPriority w:val="99"/>
    <w:rPr>
      <w:rFonts w:ascii="Arial" w:hAnsi="Arial"/>
      <w:sz w:val="20"/>
      <w:szCs w:val="20"/>
    </w:rPr>
  </w:style>
  <w:style w:type="paragraph" w:customStyle="1" w:styleId="RedaliaNormal">
    <w:name w:val="Redalia : Normal"/>
    <w:basedOn w:val="Normal"/>
    <w:pPr>
      <w:widowControl w:val="0"/>
      <w:tabs>
        <w:tab w:val="left" w:leader="dot" w:pos="8505"/>
      </w:tabs>
      <w:spacing w:before="40"/>
    </w:pPr>
    <w:rPr>
      <w:szCs w:val="20"/>
    </w:rPr>
  </w:style>
  <w:style w:type="paragraph" w:customStyle="1" w:styleId="xxxmsonormal">
    <w:name w:val="x_x_x_msonormal"/>
    <w:basedOn w:val="Normal"/>
    <w:pPr>
      <w:spacing w:before="100" w:beforeAutospacing="1" w:after="100" w:afterAutospacing="1"/>
    </w:pPr>
    <w:rPr>
      <w:rFonts w:ascii="Times New Roman" w:hAnsi="Times New Roman"/>
      <w:sz w:val="24"/>
    </w:rPr>
  </w:style>
  <w:style w:type="character" w:customStyle="1" w:styleId="WW8Num2z0">
    <w:name w:val="WW8Num2z0"/>
    <w:rPr>
      <w:rFonts w:ascii="Symbol" w:hAnsi="Symbol"/>
    </w:rPr>
  </w:style>
  <w:style w:type="character" w:customStyle="1" w:styleId="WW8Num3z0">
    <w:name w:val="WW8Num3z0"/>
    <w:rPr>
      <w:rFonts w:ascii="Wingdings" w:hAnsi="Wingdings"/>
      <w:strike w:val="0"/>
      <w:dstrike w:val="0"/>
      <w:position w:val="0"/>
      <w:sz w:val="24"/>
      <w:vertAlign w:val="baseline"/>
    </w:rPr>
  </w:style>
  <w:style w:type="character" w:customStyle="1" w:styleId="WW8Num4z0">
    <w:name w:val="WW8Num4z0"/>
    <w:rPr>
      <w:rFonts w:ascii="Wingdings" w:hAnsi="Wingdings"/>
    </w:rPr>
  </w:style>
  <w:style w:type="character" w:customStyle="1" w:styleId="WW8Num5z0">
    <w:name w:val="WW8Num5z0"/>
    <w:rPr>
      <w:rFonts w:ascii="Wingdings" w:hAnsi="Wingdings"/>
    </w:rPr>
  </w:style>
  <w:style w:type="character" w:customStyle="1" w:styleId="WW8Num7z0">
    <w:name w:val="WW8Num7z0"/>
    <w:rPr>
      <w:rFonts w:ascii="Wingdings" w:hAnsi="Wingdings"/>
    </w:rPr>
  </w:style>
  <w:style w:type="character" w:customStyle="1" w:styleId="WW8Num8z0">
    <w:name w:val="WW8Num8z0"/>
    <w:rPr>
      <w:rFonts w:ascii="Symbol" w:hAnsi="Symbol"/>
    </w:rPr>
  </w:style>
  <w:style w:type="character" w:customStyle="1" w:styleId="Absatz-Standardschriftart">
    <w:name w:val="Absatz-Standardschriftart"/>
  </w:style>
  <w:style w:type="character" w:customStyle="1" w:styleId="WW8Num6z0">
    <w:name w:val="WW8Num6z0"/>
    <w:rPr>
      <w:rFonts w:ascii="Wingdings" w:hAnsi="Wingdings"/>
    </w:rPr>
  </w:style>
  <w:style w:type="character" w:customStyle="1" w:styleId="WW8Num6z1">
    <w:name w:val="WW8Num6z1"/>
    <w:rPr>
      <w:rFonts w:ascii="Courier New" w:hAnsi="Courier New"/>
    </w:rPr>
  </w:style>
  <w:style w:type="character" w:customStyle="1" w:styleId="WW8Num6z3">
    <w:name w:val="WW8Num6z3"/>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rFonts w:ascii="Wingdings" w:hAnsi="Wingdings"/>
    </w:rPr>
  </w:style>
  <w:style w:type="character" w:customStyle="1" w:styleId="WW8Num11z1">
    <w:name w:val="WW8Num11z1"/>
    <w:rPr>
      <w:rFonts w:ascii="Courier New" w:hAnsi="Courier New"/>
    </w:rPr>
  </w:style>
  <w:style w:type="character" w:customStyle="1" w:styleId="WW8Num11z3">
    <w:name w:val="WW8Num11z3"/>
    <w:rPr>
      <w:rFonts w:ascii="Symbol" w:hAnsi="Symbol"/>
    </w:rPr>
  </w:style>
  <w:style w:type="character" w:customStyle="1" w:styleId="WW8Num12z0">
    <w:name w:val="WW8Num12z0"/>
    <w:rPr>
      <w:rFonts w:ascii="Times New Roman" w:eastAsia="Times New Roman" w:hAnsi="Times New Roman" w:cs="Times New Roman"/>
      <w:b w:val="0"/>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rFonts w:ascii="Wingdings" w:hAnsi="Wingdings"/>
    </w:rPr>
  </w:style>
  <w:style w:type="character" w:customStyle="1" w:styleId="WW8Num14z1">
    <w:name w:val="WW8Num14z1"/>
    <w:rPr>
      <w:rFonts w:ascii="Courier New" w:hAnsi="Courier New"/>
    </w:rPr>
  </w:style>
  <w:style w:type="character" w:customStyle="1" w:styleId="WW8Num14z3">
    <w:name w:val="WW8Num14z3"/>
    <w:rPr>
      <w:rFonts w:ascii="Symbol" w:hAnsi="Symbol"/>
    </w:rPr>
  </w:style>
  <w:style w:type="character" w:customStyle="1" w:styleId="WW8Num15z0">
    <w:name w:val="WW8Num15z0"/>
    <w:rPr>
      <w:rFonts w:ascii="Times New Roman" w:eastAsia="Times New Roman" w:hAnsi="Times New Roman" w:cs="Times New Roman"/>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rPr>
  </w:style>
  <w:style w:type="character" w:customStyle="1" w:styleId="WW8Num16z1">
    <w:name w:val="WW8Num16z1"/>
    <w:rPr>
      <w:rFonts w:ascii="Courier New" w:hAnsi="Courier New"/>
    </w:rPr>
  </w:style>
  <w:style w:type="character" w:customStyle="1" w:styleId="WW8Num16z3">
    <w:name w:val="WW8Num16z3"/>
    <w:rPr>
      <w:rFonts w:ascii="Symbol" w:hAnsi="Symbol"/>
    </w:rPr>
  </w:style>
  <w:style w:type="character" w:customStyle="1" w:styleId="WW8Num17z0">
    <w:name w:val="WW8Num17z0"/>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Wingdings" w:hAnsi="Wingdings"/>
    </w:rPr>
  </w:style>
  <w:style w:type="character" w:customStyle="1" w:styleId="WW8Num19z1">
    <w:name w:val="WW8Num19z1"/>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ascii="Wingdings" w:hAnsi="Wingdings"/>
      <w:strike w:val="0"/>
      <w:dstrike w:val="0"/>
      <w:position w:val="0"/>
      <w:sz w:val="24"/>
      <w:vertAlign w:val="baseline"/>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rPr>
  </w:style>
  <w:style w:type="character" w:customStyle="1" w:styleId="WW8Num23z1">
    <w:name w:val="WW8Num23z1"/>
    <w:rPr>
      <w:rFonts w:ascii="Courier New" w:hAnsi="Courier New"/>
    </w:rPr>
  </w:style>
  <w:style w:type="character" w:customStyle="1" w:styleId="WW8Num23z3">
    <w:name w:val="WW8Num23z3"/>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25z0">
    <w:name w:val="WW8Num25z0"/>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rPr>
  </w:style>
  <w:style w:type="character" w:customStyle="1" w:styleId="WW8Num26z1">
    <w:name w:val="WW8Num26z1"/>
    <w:rPr>
      <w:rFonts w:ascii="Courier New" w:hAnsi="Courier New"/>
    </w:rPr>
  </w:style>
  <w:style w:type="character" w:customStyle="1" w:styleId="WW8Num26z3">
    <w:name w:val="WW8Num26z3"/>
    <w:rPr>
      <w:rFonts w:ascii="Symbol" w:hAnsi="Symbol"/>
    </w:rPr>
  </w:style>
  <w:style w:type="character" w:customStyle="1" w:styleId="WW8Num28z0">
    <w:name w:val="WW8Num28z0"/>
    <w:rPr>
      <w:rFonts w:ascii="Wingdings" w:hAnsi="Wingdings"/>
    </w:rPr>
  </w:style>
  <w:style w:type="character" w:customStyle="1" w:styleId="WW8Num28z1">
    <w:name w:val="WW8Num28z1"/>
    <w:rPr>
      <w:rFonts w:ascii="Courier New" w:hAnsi="Courier New"/>
    </w:rPr>
  </w:style>
  <w:style w:type="character" w:customStyle="1" w:styleId="WW8Num28z3">
    <w:name w:val="WW8Num28z3"/>
    <w:rPr>
      <w:rFonts w:ascii="Symbol" w:hAnsi="Symbol"/>
    </w:rPr>
  </w:style>
  <w:style w:type="character" w:customStyle="1" w:styleId="WW8Num30z0">
    <w:name w:val="WW8Num30z0"/>
    <w:rPr>
      <w:rFonts w:ascii="Wingdings" w:hAnsi="Wingdings"/>
    </w:rPr>
  </w:style>
  <w:style w:type="character" w:customStyle="1" w:styleId="WW8Num30z1">
    <w:name w:val="WW8Num30z1"/>
    <w:rPr>
      <w:rFonts w:ascii="Courier New" w:hAnsi="Courier New"/>
    </w:rPr>
  </w:style>
  <w:style w:type="character" w:customStyle="1" w:styleId="WW8Num30z3">
    <w:name w:val="WW8Num30z3"/>
    <w:rPr>
      <w:rFonts w:ascii="Symbol" w:hAnsi="Symbol"/>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rPr>
      <w:rFonts w:ascii="Times New Roman" w:eastAsia="Times New Roman" w:hAnsi="Times New Roman" w:cs="Times New Roman"/>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customStyle="1" w:styleId="WW8Num33z0">
    <w:name w:val="WW8Num33z0"/>
    <w:rPr>
      <w:rFonts w:ascii="Wingdings" w:hAnsi="Wingdings"/>
    </w:rPr>
  </w:style>
  <w:style w:type="character" w:customStyle="1" w:styleId="WW8Num33z3">
    <w:name w:val="WW8Num33z3"/>
    <w:rPr>
      <w:rFonts w:ascii="Symbol" w:hAnsi="Symbol"/>
    </w:rPr>
  </w:style>
  <w:style w:type="character" w:customStyle="1" w:styleId="WW8Num36z0">
    <w:name w:val="WW8Num36z0"/>
    <w:rPr>
      <w:rFonts w:ascii="Times New Roman" w:eastAsia="Times New Roman" w:hAnsi="Times New Roman" w:cs="Times New Roman"/>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37z0">
    <w:name w:val="WW8Num37z0"/>
    <w:rPr>
      <w:rFonts w:ascii="Symbol" w:hAnsi="Symbol"/>
    </w:rPr>
  </w:style>
  <w:style w:type="character" w:customStyle="1" w:styleId="WW8Num37z1">
    <w:name w:val="WW8Num37z1"/>
    <w:rPr>
      <w:rFonts w:ascii="Times New Roman" w:eastAsia="Times New Roman" w:hAnsi="Times New Roman" w:cs="Times New Roman"/>
    </w:rPr>
  </w:style>
  <w:style w:type="character" w:customStyle="1" w:styleId="WW8Num37z2">
    <w:name w:val="WW8Num37z2"/>
    <w:rPr>
      <w:rFonts w:ascii="Wingdings" w:hAnsi="Wingdings"/>
    </w:rPr>
  </w:style>
  <w:style w:type="character" w:customStyle="1" w:styleId="WW8Num37z4">
    <w:name w:val="WW8Num37z4"/>
    <w:rPr>
      <w:rFonts w:ascii="Courier New" w:hAnsi="Courier New"/>
    </w:rPr>
  </w:style>
  <w:style w:type="character" w:customStyle="1" w:styleId="WW8Num38z0">
    <w:name w:val="WW8Num38z0"/>
    <w:rPr>
      <w:rFonts w:ascii="Wingdings" w:hAnsi="Wingdings"/>
    </w:rPr>
  </w:style>
  <w:style w:type="character" w:customStyle="1" w:styleId="WW8Num38z1">
    <w:name w:val="WW8Num38z1"/>
    <w:rPr>
      <w:rFonts w:ascii="Symbol" w:hAnsi="Symbol"/>
    </w:rPr>
  </w:style>
  <w:style w:type="character" w:customStyle="1" w:styleId="WW8Num39z0">
    <w:name w:val="WW8Num39z0"/>
    <w:rPr>
      <w:rFonts w:ascii="Tahoma" w:hAnsi="Tahoma"/>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rPr>
  </w:style>
  <w:style w:type="character" w:customStyle="1" w:styleId="WW8Num39z3">
    <w:name w:val="WW8Num39z3"/>
    <w:rPr>
      <w:rFonts w:ascii="Symbol" w:hAnsi="Symbol"/>
    </w:rPr>
  </w:style>
  <w:style w:type="character" w:customStyle="1" w:styleId="WW8Num40z0">
    <w:name w:val="WW8Num40z0"/>
    <w:rPr>
      <w:u w:val="none"/>
    </w:rPr>
  </w:style>
  <w:style w:type="character" w:customStyle="1" w:styleId="WW8Num41z0">
    <w:name w:val="WW8Num41z0"/>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Wingdings" w:hAnsi="Wingdings"/>
    </w:rPr>
  </w:style>
  <w:style w:type="character" w:customStyle="1" w:styleId="WW8Num42z3">
    <w:name w:val="WW8Num42z3"/>
    <w:rPr>
      <w:rFonts w:ascii="Symbol" w:hAnsi="Symbol"/>
    </w:rPr>
  </w:style>
  <w:style w:type="character" w:customStyle="1" w:styleId="WW8Num43z0">
    <w:name w:val="WW8Num43z0"/>
    <w:rPr>
      <w:rFonts w:ascii="Times New Roman" w:eastAsia="Times New Roman" w:hAnsi="Times New Roman" w:cs="Times New Roman"/>
      <w:b w:val="0"/>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4z0">
    <w:name w:val="WW8Num44z0"/>
    <w:rPr>
      <w:rFonts w:ascii="Wingdings" w:hAnsi="Wingdings"/>
    </w:rPr>
  </w:style>
  <w:style w:type="character" w:customStyle="1" w:styleId="WW8Num44z3">
    <w:name w:val="WW8Num44z3"/>
    <w:rPr>
      <w:rFonts w:ascii="Symbol" w:hAnsi="Symbol"/>
    </w:rPr>
  </w:style>
  <w:style w:type="character" w:customStyle="1" w:styleId="WW8Num45z0">
    <w:name w:val="WW8Num45z0"/>
    <w:rPr>
      <w:rFonts w:ascii="Wingdings" w:hAnsi="Wingdings"/>
    </w:rPr>
  </w:style>
  <w:style w:type="character" w:customStyle="1" w:styleId="WW8Num46z0">
    <w:name w:val="WW8Num46z0"/>
    <w:rPr>
      <w:rFonts w:ascii="Wingdings" w:hAnsi="Wingdings"/>
    </w:rPr>
  </w:style>
  <w:style w:type="character" w:customStyle="1" w:styleId="WW8Num46z3">
    <w:name w:val="WW8Num46z3"/>
    <w:rPr>
      <w:rFonts w:ascii="Symbol" w:hAnsi="Symbol"/>
    </w:rPr>
  </w:style>
  <w:style w:type="character" w:customStyle="1" w:styleId="WW8NumSt7z0">
    <w:name w:val="WW8NumSt7z0"/>
    <w:rPr>
      <w:rFonts w:ascii="Wingdings" w:hAnsi="Wingdings"/>
    </w:rPr>
  </w:style>
  <w:style w:type="character" w:customStyle="1" w:styleId="WW8NumSt13z0">
    <w:name w:val="WW8NumSt13z0"/>
    <w:rPr>
      <w:rFonts w:ascii="Symbol" w:hAnsi="Symbol"/>
    </w:rPr>
  </w:style>
  <w:style w:type="character" w:customStyle="1" w:styleId="Policepardfaut1">
    <w:name w:val="Police par défaut1"/>
  </w:style>
  <w:style w:type="character" w:customStyle="1" w:styleId="arrtmajeur">
    <w:name w:val="arrêt majeur"/>
    <w:rPr>
      <w:rFonts w:ascii="Georgia" w:hAnsi="Georgia"/>
      <w:color w:val="FF00FF"/>
      <w:sz w:val="22"/>
    </w:rPr>
  </w:style>
  <w:style w:type="character" w:customStyle="1" w:styleId="arretmineur">
    <w:name w:val="arret mineur"/>
    <w:rPr>
      <w:rFonts w:ascii="Georgia" w:hAnsi="Georgia"/>
      <w:color w:val="auto"/>
      <w:sz w:val="22"/>
      <w:u w:val="single"/>
    </w:rPr>
  </w:style>
  <w:style w:type="character" w:customStyle="1" w:styleId="grand1">
    <w:name w:val="grand 1"/>
    <w:rPr>
      <w:rFonts w:ascii="Georgia" w:hAnsi="Georgia"/>
      <w:color w:val="FF0000"/>
      <w:sz w:val="22"/>
    </w:rPr>
  </w:style>
  <w:style w:type="character" w:customStyle="1" w:styleId="grandA">
    <w:name w:val="grand A"/>
    <w:rPr>
      <w:rFonts w:ascii="Georgia" w:hAnsi="Georgia"/>
      <w:color w:val="008000"/>
      <w:sz w:val="22"/>
    </w:rPr>
  </w:style>
  <w:style w:type="character" w:customStyle="1" w:styleId="Marquedecommentaire1">
    <w:name w:val="Marque de commentaire1"/>
    <w:rPr>
      <w:sz w:val="16"/>
      <w:szCs w:val="16"/>
    </w:rPr>
  </w:style>
  <w:style w:type="paragraph" w:customStyle="1" w:styleId="Titre10">
    <w:name w:val="Titre1"/>
    <w:basedOn w:val="Normal"/>
    <w:next w:val="Corpsdetexte"/>
    <w:pPr>
      <w:keepNext/>
      <w:suppressAutoHyphens/>
      <w:spacing w:before="240" w:after="120"/>
    </w:pPr>
    <w:rPr>
      <w:rFonts w:ascii="Arial" w:eastAsia="MS Mincho" w:hAnsi="Arial" w:cs="Tahoma"/>
      <w:noProof/>
      <w:sz w:val="28"/>
      <w:szCs w:val="28"/>
    </w:rPr>
  </w:style>
  <w:style w:type="paragraph" w:styleId="Liste">
    <w:name w:val="List"/>
    <w:basedOn w:val="Corpsdetexte"/>
    <w:semiHidden/>
    <w:pPr>
      <w:suppressAutoHyphens/>
    </w:pPr>
    <w:rPr>
      <w:rFonts w:ascii="Georgia" w:hAnsi="Georgia" w:cs="Tahoma"/>
      <w:noProof/>
      <w:szCs w:val="22"/>
    </w:rPr>
  </w:style>
  <w:style w:type="paragraph" w:customStyle="1" w:styleId="Lgende1">
    <w:name w:val="Légende1"/>
    <w:basedOn w:val="Normal"/>
    <w:pPr>
      <w:suppressLineNumbers/>
      <w:suppressAutoHyphens/>
      <w:spacing w:before="120" w:after="120"/>
    </w:pPr>
    <w:rPr>
      <w:rFonts w:cs="Tahoma"/>
      <w:i/>
      <w:iCs/>
      <w:noProof/>
      <w:szCs w:val="22"/>
    </w:rPr>
  </w:style>
  <w:style w:type="paragraph" w:customStyle="1" w:styleId="Rpertoire">
    <w:name w:val="Répertoire"/>
    <w:basedOn w:val="Normal"/>
    <w:pPr>
      <w:suppressLineNumbers/>
      <w:suppressAutoHyphens/>
    </w:pPr>
    <w:rPr>
      <w:rFonts w:cs="Tahoma"/>
      <w:noProof/>
      <w:szCs w:val="22"/>
    </w:rPr>
  </w:style>
  <w:style w:type="paragraph" w:customStyle="1" w:styleId="RedTitre2">
    <w:name w:val="RedTitre2"/>
    <w:basedOn w:val="Normal"/>
    <w:pPr>
      <w:widowControl w:val="0"/>
      <w:pBdr>
        <w:top w:val="single" w:sz="4" w:space="1" w:color="000000"/>
        <w:left w:val="single" w:sz="4" w:space="1" w:color="000000"/>
        <w:bottom w:val="single" w:sz="4" w:space="1" w:color="000000"/>
        <w:right w:val="single" w:sz="4" w:space="1" w:color="000000"/>
      </w:pBdr>
      <w:suppressAutoHyphens/>
      <w:spacing w:before="240" w:after="60"/>
    </w:pPr>
    <w:rPr>
      <w:rFonts w:ascii="Arial" w:hAnsi="Arial" w:cs="Calibri"/>
      <w:b/>
      <w:noProof/>
      <w:szCs w:val="20"/>
    </w:rPr>
  </w:style>
  <w:style w:type="paragraph" w:customStyle="1" w:styleId="Corpsdetexte21">
    <w:name w:val="Corps de texte 21"/>
    <w:basedOn w:val="Normal"/>
    <w:pPr>
      <w:suppressAutoHyphens/>
    </w:pPr>
    <w:rPr>
      <w:rFonts w:ascii="Georgia" w:hAnsi="Georgia" w:cs="Calibri"/>
      <w:noProof/>
      <w:szCs w:val="22"/>
    </w:rPr>
  </w:style>
  <w:style w:type="paragraph" w:customStyle="1" w:styleId="Explorateurdedocuments1">
    <w:name w:val="Explorateur de documents1"/>
    <w:basedOn w:val="Normal"/>
    <w:pPr>
      <w:shd w:val="clear" w:color="auto" w:fill="000080"/>
      <w:suppressAutoHyphens/>
    </w:pPr>
    <w:rPr>
      <w:rFonts w:ascii="Tahoma" w:hAnsi="Tahoma" w:cs="Tahoma"/>
      <w:noProof/>
      <w:szCs w:val="20"/>
    </w:rPr>
  </w:style>
  <w:style w:type="paragraph" w:customStyle="1" w:styleId="Commentaire1">
    <w:name w:val="Commentaire1"/>
    <w:basedOn w:val="Normal"/>
    <w:pPr>
      <w:suppressAutoHyphens/>
    </w:pPr>
    <w:rPr>
      <w:rFonts w:cs="Calibri"/>
      <w:noProof/>
      <w:szCs w:val="20"/>
    </w:rPr>
  </w:style>
  <w:style w:type="paragraph" w:customStyle="1" w:styleId="Contenudetableau">
    <w:name w:val="Contenu de tableau"/>
    <w:basedOn w:val="Normal"/>
    <w:pPr>
      <w:suppressLineNumbers/>
      <w:suppressAutoHyphens/>
    </w:pPr>
    <w:rPr>
      <w:rFonts w:cs="Calibri"/>
      <w:noProof/>
      <w:szCs w:val="22"/>
    </w:rPr>
  </w:style>
  <w:style w:type="paragraph" w:customStyle="1" w:styleId="Titredetableau">
    <w:name w:val="Titre de tableau"/>
    <w:basedOn w:val="Contenudetableau"/>
    <w:pPr>
      <w:jc w:val="center"/>
    </w:pPr>
    <w:rPr>
      <w:b/>
      <w:bCs/>
    </w:rPr>
  </w:style>
  <w:style w:type="paragraph" w:customStyle="1" w:styleId="Tabledesmatiresniveau10">
    <w:name w:val="Table des matières niveau 10"/>
    <w:basedOn w:val="Rpertoire"/>
    <w:pPr>
      <w:tabs>
        <w:tab w:val="right" w:leader="dot" w:pos="12184"/>
      </w:tabs>
      <w:ind w:left="2547"/>
    </w:pPr>
  </w:style>
  <w:style w:type="character" w:customStyle="1" w:styleId="SansinterligneCar">
    <w:name w:val="Sans interligne Car"/>
    <w:link w:val="Sansinterligne"/>
    <w:uiPriority w:val="1"/>
    <w:rPr>
      <w:sz w:val="22"/>
      <w:szCs w:val="22"/>
      <w:lang w:val="en-US" w:eastAsia="en-US"/>
    </w:rPr>
  </w:style>
  <w:style w:type="paragraph" w:customStyle="1" w:styleId="texte">
    <w:name w:val="texte"/>
    <w:pPr>
      <w:jc w:val="both"/>
    </w:pPr>
    <w:rPr>
      <w:rFonts w:ascii="Arial" w:hAnsi="Arial"/>
      <w:sz w:val="22"/>
      <w:lang w:eastAsia="fr-FR"/>
    </w:rPr>
  </w:style>
  <w:style w:type="paragraph" w:styleId="Textebrut">
    <w:name w:val="Plain Text"/>
    <w:basedOn w:val="Normal"/>
    <w:link w:val="TextebrutCar"/>
    <w:uiPriority w:val="99"/>
    <w:unhideWhenUsed/>
    <w:rPr>
      <w:rFonts w:ascii="Consolas" w:eastAsia="Calibri" w:hAnsi="Consolas" w:cs="Calibri"/>
      <w:noProof/>
      <w:sz w:val="21"/>
      <w:szCs w:val="21"/>
      <w:lang w:eastAsia="en-US"/>
    </w:rPr>
  </w:style>
  <w:style w:type="character" w:customStyle="1" w:styleId="TextebrutCar">
    <w:name w:val="Texte brut Car"/>
    <w:link w:val="Textebrut"/>
    <w:uiPriority w:val="99"/>
    <w:rPr>
      <w:rFonts w:ascii="Consolas" w:eastAsia="Calibri" w:hAnsi="Consolas" w:cs="Calibri"/>
      <w:noProof/>
      <w:sz w:val="21"/>
      <w:szCs w:val="21"/>
      <w:lang w:eastAsia="en-US"/>
    </w:rPr>
  </w:style>
  <w:style w:type="paragraph" w:customStyle="1" w:styleId="RedTitre">
    <w:name w:val="RedTitre"/>
    <w:basedOn w:val="Normal"/>
    <w:pPr>
      <w:framePr w:hSpace="142" w:wrap="auto" w:vAnchor="text" w:hAnchor="text" w:xAlign="center" w:y="1"/>
      <w:jc w:val="center"/>
    </w:pPr>
    <w:rPr>
      <w:rFonts w:ascii="Arial" w:hAnsi="Arial" w:cs="Calibri"/>
      <w:b/>
      <w:noProof/>
      <w:szCs w:val="20"/>
    </w:rPr>
  </w:style>
  <w:style w:type="paragraph" w:customStyle="1" w:styleId="Mtexte">
    <w:name w:val="Mtexte"/>
    <w:link w:val="MtexteCar"/>
    <w:qFormat/>
    <w:pPr>
      <w:suppressAutoHyphens/>
      <w:jc w:val="both"/>
    </w:pPr>
    <w:rPr>
      <w:rFonts w:ascii="Arial Narrow" w:hAnsi="Arial Narrow"/>
      <w:sz w:val="22"/>
      <w:szCs w:val="22"/>
      <w:lang w:eastAsia="ar-SA"/>
    </w:rPr>
  </w:style>
  <w:style w:type="character" w:customStyle="1" w:styleId="RedTxtCar">
    <w:name w:val="RedTxt Car"/>
    <w:link w:val="RedTxt"/>
    <w:locked/>
    <w:rPr>
      <w:rFonts w:ascii="Arial" w:hAnsi="Arial" w:cs="Arial"/>
      <w:sz w:val="18"/>
      <w:szCs w:val="18"/>
      <w:lang w:val="en-US" w:eastAsia="en-US"/>
    </w:rPr>
  </w:style>
  <w:style w:type="character" w:customStyle="1" w:styleId="street-address">
    <w:name w:val="street-address"/>
  </w:style>
  <w:style w:type="character" w:customStyle="1" w:styleId="apple-converted-space">
    <w:name w:val="apple-converted-space"/>
  </w:style>
  <w:style w:type="character" w:customStyle="1" w:styleId="st">
    <w:name w:val="st"/>
  </w:style>
  <w:style w:type="character" w:customStyle="1" w:styleId="MtexteCar">
    <w:name w:val="Mtexte Car"/>
    <w:link w:val="Mtexte"/>
    <w:uiPriority w:val="99"/>
    <w:rPr>
      <w:rFonts w:ascii="Arial Narrow" w:hAnsi="Arial Narrow"/>
      <w:sz w:val="22"/>
      <w:szCs w:val="22"/>
      <w:lang w:eastAsia="ar-SA"/>
    </w:rPr>
  </w:style>
  <w:style w:type="paragraph" w:customStyle="1" w:styleId="mtitrarticle0">
    <w:name w:val="mtitrarticle"/>
    <w:basedOn w:val="Normal"/>
    <w:next w:val="Normal"/>
    <w:autoRedefine/>
    <w:pPr>
      <w:shd w:val="pct25" w:color="auto" w:fill="auto"/>
      <w:tabs>
        <w:tab w:val="left" w:pos="-142"/>
        <w:tab w:val="left" w:pos="567"/>
        <w:tab w:val="left" w:pos="1134"/>
        <w:tab w:val="num" w:pos="4341"/>
      </w:tabs>
      <w:spacing w:before="480" w:after="280"/>
      <w:ind w:left="3261"/>
    </w:pPr>
    <w:rPr>
      <w:rFonts w:ascii="Gill Sans Extra Bold" w:hAnsi="Gill Sans Extra Bold"/>
      <w:b/>
      <w:bCs/>
      <w:noProof/>
      <w:spacing w:val="-20"/>
      <w:sz w:val="24"/>
    </w:rPr>
  </w:style>
  <w:style w:type="paragraph" w:customStyle="1" w:styleId="Mssstitre">
    <w:name w:val="Mssstitre"/>
    <w:basedOn w:val="Msstitre"/>
    <w:pPr>
      <w:tabs>
        <w:tab w:val="clear" w:pos="0"/>
        <w:tab w:val="num" w:pos="1368"/>
        <w:tab w:val="num" w:pos="1927"/>
      </w:tabs>
      <w:suppressAutoHyphens w:val="0"/>
      <w:ind w:left="720" w:right="284" w:hanging="432"/>
      <w:jc w:val="both"/>
    </w:pPr>
    <w:rPr>
      <w:rFonts w:ascii="Arial" w:hAnsi="Arial" w:cs="Arial"/>
      <w:bCs/>
      <w:noProof/>
      <w:sz w:val="20"/>
      <w:u w:val="single"/>
      <w:lang w:eastAsia="fr-FR"/>
    </w:rPr>
  </w:style>
  <w:style w:type="paragraph" w:customStyle="1" w:styleId="MTITRART">
    <w:name w:val="MTITRART"/>
    <w:basedOn w:val="mtitrarticle0"/>
    <w:link w:val="MTITRARTCar"/>
    <w:pPr>
      <w:pBdr>
        <w:top w:val="single" w:sz="4" w:space="1" w:color="auto"/>
        <w:left w:val="single" w:sz="4" w:space="4" w:color="auto"/>
        <w:bottom w:val="single" w:sz="4" w:space="1" w:color="auto"/>
        <w:right w:val="single" w:sz="4" w:space="4" w:color="auto"/>
      </w:pBdr>
      <w:shd w:val="clear" w:color="auto" w:fill="C6D9F1"/>
      <w:tabs>
        <w:tab w:val="num" w:pos="1931"/>
      </w:tabs>
      <w:spacing w:before="120" w:after="120"/>
      <w:ind w:left="0"/>
    </w:pPr>
    <w:rPr>
      <w:rFonts w:ascii="Calibri" w:hAnsi="Calibri"/>
      <w:spacing w:val="0"/>
    </w:rPr>
  </w:style>
  <w:style w:type="character" w:customStyle="1" w:styleId="MTITRARTCar">
    <w:name w:val="MTITRART Car"/>
    <w:link w:val="MTITRART"/>
    <w:rPr>
      <w:rFonts w:ascii="Calibri" w:hAnsi="Calibri"/>
      <w:b/>
      <w:bCs/>
      <w:noProof/>
      <w:sz w:val="24"/>
      <w:szCs w:val="24"/>
      <w:shd w:val="clear" w:color="auto" w:fill="C6D9F1"/>
    </w:rPr>
  </w:style>
  <w:style w:type="paragraph" w:customStyle="1" w:styleId="Mstitre1">
    <w:name w:val="Mstitre1"/>
    <w:basedOn w:val="Msstitre"/>
    <w:link w:val="Mstitre1Car"/>
    <w:pPr>
      <w:numPr>
        <w:ilvl w:val="1"/>
        <w:numId w:val="4"/>
      </w:numPr>
      <w:suppressAutoHyphens w:val="0"/>
      <w:spacing w:after="0"/>
      <w:ind w:left="0"/>
    </w:pPr>
    <w:rPr>
      <w:rFonts w:ascii="Calibri" w:hAnsi="Calibri" w:cs="Arial"/>
      <w:b/>
      <w:bCs/>
      <w:caps w:val="0"/>
      <w:noProof/>
      <w:spacing w:val="0"/>
      <w:u w:val="single"/>
      <w:lang w:eastAsia="fr-FR"/>
    </w:rPr>
  </w:style>
  <w:style w:type="character" w:customStyle="1" w:styleId="Mstitre1Car">
    <w:name w:val="Mstitre1 Car"/>
    <w:link w:val="Mstitre1"/>
    <w:rPr>
      <w:rFonts w:ascii="Calibri" w:hAnsi="Calibri" w:cs="Arial"/>
      <w:b/>
      <w:bCs/>
      <w:noProof/>
      <w:sz w:val="22"/>
      <w:szCs w:val="22"/>
      <w:u w:val="single"/>
      <w:lang w:eastAsia="fr-FR"/>
    </w:rPr>
  </w:style>
  <w:style w:type="character" w:customStyle="1" w:styleId="italic">
    <w:name w:val="italic"/>
  </w:style>
  <w:style w:type="character" w:customStyle="1" w:styleId="bold">
    <w:name w:val="bold"/>
  </w:style>
  <w:style w:type="character" w:customStyle="1" w:styleId="ParagraphedelisteCar">
    <w:name w:val="Paragraphe de liste Car"/>
    <w:aliases w:val="§norme Car,Resume Title Car,Paragraphe de liste N1 Car,lp1 Car,Bullet Niv 1 Car,Paragraphe de liste num Car,Paragraphe de liste 1 Car,Puce focus Car,Tab n1 Car,Legende Car,texte de base Car,normal Car,Paragraphe liste 1 Car"/>
    <w:link w:val="Paragraphedeliste"/>
    <w:uiPriority w:val="34"/>
    <w:qFormat/>
    <w:rPr>
      <w:rFonts w:ascii="Calibri" w:hAnsi="Calibri"/>
      <w:szCs w:val="24"/>
    </w:rPr>
  </w:style>
  <w:style w:type="paragraph" w:customStyle="1" w:styleId="MART">
    <w:name w:val="MART"/>
    <w:basedOn w:val="Normal"/>
    <w:link w:val="MARTCar"/>
    <w:pPr>
      <w:numPr>
        <w:numId w:val="5"/>
      </w:numPr>
      <w:pBdr>
        <w:top w:val="single" w:sz="4" w:space="1" w:color="auto"/>
        <w:left w:val="single" w:sz="4" w:space="4" w:color="auto"/>
        <w:bottom w:val="single" w:sz="4" w:space="1" w:color="auto"/>
        <w:right w:val="single" w:sz="4" w:space="4" w:color="auto"/>
      </w:pBdr>
      <w:shd w:val="clear" w:color="auto" w:fill="C6D9F1"/>
      <w:suppressAutoHyphens/>
    </w:pPr>
    <w:rPr>
      <w:rFonts w:eastAsia="MS Mincho"/>
      <w:b/>
      <w:sz w:val="24"/>
      <w:lang w:val="x-none" w:eastAsia="ar-SA"/>
    </w:rPr>
  </w:style>
  <w:style w:type="character" w:customStyle="1" w:styleId="MARTCar">
    <w:name w:val="MART Car"/>
    <w:link w:val="MART"/>
    <w:rPr>
      <w:rFonts w:ascii="Calibri" w:eastAsia="MS Mincho" w:hAnsi="Calibri"/>
      <w:b/>
      <w:sz w:val="24"/>
      <w:szCs w:val="24"/>
      <w:shd w:val="clear" w:color="auto" w:fill="C6D9F1"/>
      <w:lang w:val="x-none" w:eastAsia="ar-SA"/>
    </w:rPr>
  </w:style>
  <w:style w:type="paragraph" w:customStyle="1" w:styleId="MSART">
    <w:name w:val="MSART"/>
    <w:basedOn w:val="Titre2"/>
    <w:link w:val="MSARTCar"/>
    <w:pPr>
      <w:numPr>
        <w:ilvl w:val="0"/>
        <w:numId w:val="6"/>
      </w:numPr>
      <w:tabs>
        <w:tab w:val="clear" w:pos="993"/>
      </w:tabs>
      <w:suppressAutoHyphens/>
      <w:spacing w:before="0" w:after="0"/>
    </w:pPr>
    <w:rPr>
      <w:rFonts w:eastAsia="Times New Roman" w:cs="Times New Roman"/>
      <w:bCs/>
      <w:u w:val="single"/>
      <w:lang w:val="x-none" w:eastAsia="ar-SA"/>
    </w:rPr>
  </w:style>
  <w:style w:type="character" w:customStyle="1" w:styleId="MSARTCar">
    <w:name w:val="MSART Car"/>
    <w:link w:val="MSART"/>
    <w:rPr>
      <w:rFonts w:ascii="Calibri" w:hAnsi="Calibri"/>
      <w:b/>
      <w:bCs/>
      <w:smallCaps/>
      <w:sz w:val="22"/>
      <w:szCs w:val="22"/>
      <w:u w:val="single"/>
      <w:shd w:val="clear" w:color="auto" w:fill="E5DFEC"/>
      <w:lang w:val="x-none" w:eastAsia="ar-SA"/>
    </w:rPr>
  </w:style>
  <w:style w:type="paragraph" w:customStyle="1" w:styleId="StyleResahStandard">
    <w:name w:val="Style Resah Standard"/>
    <w:basedOn w:val="Corpsdetexte21"/>
    <w:link w:val="StyleResahStandardCar"/>
    <w:pPr>
      <w:widowControl w:val="0"/>
      <w:spacing w:after="120"/>
    </w:pPr>
    <w:rPr>
      <w:rFonts w:ascii="Calibri" w:hAnsi="Calibri" w:cs="Arial"/>
      <w:noProof w:val="0"/>
      <w:lang w:eastAsia="ar-SA"/>
    </w:rPr>
  </w:style>
  <w:style w:type="character" w:customStyle="1" w:styleId="StyleResahStandardCar">
    <w:name w:val="Style Resah Standard Car"/>
    <w:link w:val="StyleResahStandard"/>
    <w:rPr>
      <w:rFonts w:ascii="Calibri" w:hAnsi="Calibri" w:cs="Arial"/>
      <w:sz w:val="22"/>
      <w:szCs w:val="22"/>
      <w:lang w:eastAsia="ar-SA"/>
    </w:rPr>
  </w:style>
  <w:style w:type="paragraph" w:customStyle="1" w:styleId="Redaliapuces">
    <w:name w:val="Redalia : puces"/>
    <w:basedOn w:val="Normal"/>
    <w:pPr>
      <w:numPr>
        <w:numId w:val="7"/>
      </w:numPr>
      <w:tabs>
        <w:tab w:val="clear" w:pos="530"/>
        <w:tab w:val="num" w:pos="720"/>
      </w:tabs>
      <w:spacing w:before="40"/>
      <w:ind w:left="720" w:hanging="360"/>
    </w:pPr>
    <w:rPr>
      <w:rFonts w:eastAsia="Calibri"/>
      <w:szCs w:val="22"/>
    </w:rPr>
  </w:style>
  <w:style w:type="character" w:styleId="Textedelespacerserv">
    <w:name w:val="Placeholder Text"/>
    <w:uiPriority w:val="99"/>
    <w:semiHidden/>
    <w:rPr>
      <w:color w:val="808080"/>
    </w:rPr>
  </w:style>
  <w:style w:type="character" w:customStyle="1" w:styleId="Mentionnonrsolue1">
    <w:name w:val="Mention non résolue1"/>
    <w:uiPriority w:val="99"/>
    <w:semiHidden/>
    <w:unhideWhenUsed/>
    <w:rPr>
      <w:color w:val="605E5C"/>
      <w:shd w:val="clear" w:color="auto" w:fill="E1DFDD"/>
    </w:rPr>
  </w:style>
  <w:style w:type="paragraph" w:customStyle="1" w:styleId="xredalianormal">
    <w:name w:val="x_redalianormal"/>
    <w:basedOn w:val="Normal"/>
    <w:pPr>
      <w:spacing w:before="100" w:beforeAutospacing="1" w:after="100" w:afterAutospacing="1"/>
    </w:pPr>
    <w:rPr>
      <w:rFonts w:ascii="Times New Roman" w:hAnsi="Times New Roman"/>
      <w:sz w:val="24"/>
    </w:rPr>
  </w:style>
  <w:style w:type="paragraph" w:customStyle="1" w:styleId="xxmsonormal">
    <w:name w:val="x_x_msonormal"/>
    <w:basedOn w:val="Normal"/>
    <w:pPr>
      <w:spacing w:before="100" w:beforeAutospacing="1" w:after="100" w:afterAutospacing="1"/>
    </w:pPr>
    <w:rPr>
      <w:rFonts w:ascii="Times New Roman" w:hAnsi="Times New Roman"/>
      <w:sz w:val="24"/>
    </w:rPr>
  </w:style>
  <w:style w:type="character" w:customStyle="1" w:styleId="xxmsoins0">
    <w:name w:val="x_x_msoins0"/>
  </w:style>
  <w:style w:type="table" w:customStyle="1" w:styleId="Grilledutableau1">
    <w:name w:val="Grille du tableau1"/>
    <w:basedOn w:val="TableauNormal"/>
    <w:next w:val="Grilledutableau"/>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pPr>
      <w:keepLines/>
      <w:tabs>
        <w:tab w:val="left" w:pos="284"/>
        <w:tab w:val="left" w:pos="567"/>
        <w:tab w:val="left" w:pos="851"/>
      </w:tabs>
      <w:ind w:firstLine="284"/>
    </w:pPr>
    <w:rPr>
      <w:rFonts w:ascii="Times New Roman" w:hAnsi="Times New Roman"/>
      <w:szCs w:val="22"/>
    </w:rPr>
  </w:style>
  <w:style w:type="table" w:customStyle="1" w:styleId="TableNormal">
    <w:name w:val="Table Normal"/>
    <w:uiPriority w:val="2"/>
    <w:semiHidden/>
    <w:unhideWhenUsed/>
    <w:qFormat/>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pPr>
    <w:rPr>
      <w:rFonts w:eastAsia="Calibri" w:cs="Calibri"/>
      <w:szCs w:val="22"/>
      <w:lang w:eastAsia="en-US"/>
    </w:rPr>
  </w:style>
  <w:style w:type="character" w:customStyle="1" w:styleId="Mentionnonrsolue2">
    <w:name w:val="Mention non résolue2"/>
    <w:basedOn w:val="Policepardfaut"/>
    <w:uiPriority w:val="99"/>
    <w:semiHidden/>
    <w:unhideWhenUsed/>
    <w:rPr>
      <w:color w:val="605E5C"/>
      <w:shd w:val="clear" w:color="auto" w:fill="E1DFDD"/>
    </w:rPr>
  </w:style>
  <w:style w:type="character" w:styleId="Mentionnonrsolue">
    <w:name w:val="Unresolved Mention"/>
    <w:basedOn w:val="Policepardfaut"/>
    <w:uiPriority w:val="99"/>
    <w:semiHidden/>
    <w:unhideWhenUsed/>
    <w:rPr>
      <w:color w:val="605E5C"/>
      <w:shd w:val="clear" w:color="auto" w:fill="E1DFDD"/>
    </w:rPr>
  </w:style>
  <w:style w:type="paragraph" w:customStyle="1" w:styleId="Listepuces1">
    <w:name w:val="Liste à puces 1"/>
    <w:basedOn w:val="Normal"/>
    <w:next w:val="Normal"/>
    <w:link w:val="Listepuces1Car"/>
    <w:pPr>
      <w:numPr>
        <w:numId w:val="9"/>
      </w:numPr>
      <w:suppressAutoHyphens/>
    </w:pPr>
    <w:rPr>
      <w:rFonts w:ascii="Arial" w:hAnsi="Arial"/>
      <w:bCs/>
      <w:sz w:val="20"/>
      <w:szCs w:val="22"/>
    </w:rPr>
  </w:style>
  <w:style w:type="character" w:customStyle="1" w:styleId="Listepuces1Car">
    <w:name w:val="Liste à puces 1 Car"/>
    <w:link w:val="Listepuces1"/>
    <w:rPr>
      <w:rFonts w:ascii="Arial" w:hAnsi="Arial"/>
      <w:bCs/>
      <w:szCs w:val="22"/>
      <w:lang w:eastAsia="fr-FR"/>
    </w:rPr>
  </w:style>
  <w:style w:type="paragraph" w:customStyle="1" w:styleId="numration-">
    <w:name w:val="énumération -"/>
    <w:basedOn w:val="Normal"/>
    <w:pPr>
      <w:numPr>
        <w:numId w:val="10"/>
      </w:numPr>
      <w:overflowPunct w:val="0"/>
      <w:autoSpaceDE w:val="0"/>
      <w:autoSpaceDN w:val="0"/>
      <w:adjustRightInd w:val="0"/>
      <w:textAlignment w:val="baseline"/>
    </w:pPr>
    <w:rPr>
      <w:rFonts w:ascii="Times New Roman" w:hAnsi="Times New Roman"/>
      <w:bCs/>
      <w:sz w:val="20"/>
      <w:szCs w:val="20"/>
    </w:rPr>
  </w:style>
  <w:style w:type="paragraph" w:styleId="Sous-titre">
    <w:name w:val="Subtitle"/>
    <w:aliases w:val="petit titre"/>
    <w:basedOn w:val="Normal"/>
    <w:next w:val="Normal"/>
    <w:link w:val="Sous-titreCar"/>
    <w:locked/>
    <w:pPr>
      <w:tabs>
        <w:tab w:val="right" w:leader="dot" w:pos="9072"/>
      </w:tabs>
      <w:spacing w:before="240" w:after="120"/>
    </w:pPr>
    <w:rPr>
      <w:rFonts w:ascii="Arial" w:hAnsi="Arial"/>
      <w:b/>
      <w:bCs/>
      <w:color w:val="404040" w:themeColor="text1" w:themeTint="BF"/>
      <w:spacing w:val="-6"/>
      <w:sz w:val="20"/>
      <w:szCs w:val="20"/>
      <w:u w:val="single"/>
    </w:rPr>
  </w:style>
  <w:style w:type="character" w:customStyle="1" w:styleId="Sous-titreCar">
    <w:name w:val="Sous-titre Car"/>
    <w:aliases w:val="petit titre Car"/>
    <w:basedOn w:val="Policepardfaut"/>
    <w:link w:val="Sous-titre"/>
    <w:rPr>
      <w:rFonts w:ascii="Arial" w:hAnsi="Arial"/>
      <w:b/>
      <w:bCs/>
      <w:color w:val="404040" w:themeColor="text1" w:themeTint="BF"/>
      <w:spacing w:val="-6"/>
      <w:u w:val="single"/>
      <w:lang w:eastAsia="fr-FR"/>
    </w:rPr>
  </w:style>
  <w:style w:type="table" w:styleId="TableauGrille1Clair-Accentuation2">
    <w:name w:val="Grid Table 1 Light Accent 2"/>
    <w:basedOn w:val="TableauNormal"/>
    <w:uiPriority w:val="4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lledetableauclaire">
    <w:name w:val="Grid Table Light"/>
    <w:basedOn w:val="TableauNormal"/>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3">
    <w:name w:val="Normal3"/>
    <w:basedOn w:val="Normal"/>
    <w:pPr>
      <w:keepLines/>
      <w:tabs>
        <w:tab w:val="left" w:pos="851"/>
        <w:tab w:val="left" w:pos="1134"/>
        <w:tab w:val="left" w:pos="1418"/>
      </w:tabs>
      <w:ind w:left="567" w:firstLine="284"/>
    </w:pPr>
    <w:rPr>
      <w:rFonts w:ascii="Times New Roman" w:hAnsi="Times New Roman"/>
      <w:szCs w:val="20"/>
    </w:rPr>
  </w:style>
  <w:style w:type="table" w:styleId="TableauGrille5Fonc-Accentuation3">
    <w:name w:val="Grid Table 5 Dark Accent 3"/>
    <w:basedOn w:val="Tableau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eauGrille4-Accentuation3">
    <w:name w:val="Grid Table 4 Accent 3"/>
    <w:basedOn w:val="TableauNormal"/>
    <w:uiPriority w:val="4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normaltextrun">
    <w:name w:val="normaltextrun"/>
    <w:basedOn w:val="Policepardfaut"/>
  </w:style>
  <w:style w:type="character" w:customStyle="1" w:styleId="eop">
    <w:name w:val="eop"/>
    <w:basedOn w:val="Policepardfaut"/>
  </w:style>
  <w:style w:type="paragraph" w:customStyle="1" w:styleId="paragraph">
    <w:name w:val="paragraph"/>
    <w:basedOn w:val="Normal"/>
    <w:pPr>
      <w:spacing w:before="100" w:beforeAutospacing="1" w:after="100" w:afterAutospacing="1"/>
      <w:jc w:val="left"/>
    </w:pPr>
    <w:rPr>
      <w:rFonts w:ascii="Times New Roman" w:hAnsi="Times New Roman"/>
      <w:sz w:val="24"/>
    </w:rPr>
  </w:style>
  <w:style w:type="character" w:customStyle="1" w:styleId="tabchar">
    <w:name w:val="tabchar"/>
    <w:basedOn w:val="Policepardfaut"/>
  </w:style>
  <w:style w:type="table" w:styleId="TableauGrille2-Accentuation3">
    <w:name w:val="Grid Table 2 Accent 3"/>
    <w:basedOn w:val="TableauNormal"/>
    <w:uiPriority w:val="47"/>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Grille3-Accentuation3">
    <w:name w:val="Grid Table 3 Accent 3"/>
    <w:basedOn w:val="TableauNormal"/>
    <w:uiPriority w:val="48"/>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86854">
      <w:bodyDiv w:val="1"/>
      <w:marLeft w:val="0"/>
      <w:marRight w:val="0"/>
      <w:marTop w:val="0"/>
      <w:marBottom w:val="0"/>
      <w:divBdr>
        <w:top w:val="none" w:sz="0" w:space="0" w:color="auto"/>
        <w:left w:val="none" w:sz="0" w:space="0" w:color="auto"/>
        <w:bottom w:val="none" w:sz="0" w:space="0" w:color="auto"/>
        <w:right w:val="none" w:sz="0" w:space="0" w:color="auto"/>
      </w:divBdr>
    </w:div>
    <w:div w:id="60754360">
      <w:bodyDiv w:val="1"/>
      <w:marLeft w:val="0"/>
      <w:marRight w:val="0"/>
      <w:marTop w:val="0"/>
      <w:marBottom w:val="0"/>
      <w:divBdr>
        <w:top w:val="none" w:sz="0" w:space="0" w:color="auto"/>
        <w:left w:val="none" w:sz="0" w:space="0" w:color="auto"/>
        <w:bottom w:val="none" w:sz="0" w:space="0" w:color="auto"/>
        <w:right w:val="none" w:sz="0" w:space="0" w:color="auto"/>
      </w:divBdr>
      <w:divsChild>
        <w:div w:id="755856595">
          <w:marLeft w:val="0"/>
          <w:marRight w:val="0"/>
          <w:marTop w:val="0"/>
          <w:marBottom w:val="200"/>
          <w:divBdr>
            <w:top w:val="none" w:sz="0" w:space="0" w:color="auto"/>
            <w:left w:val="none" w:sz="0" w:space="0" w:color="auto"/>
            <w:bottom w:val="none" w:sz="0" w:space="0" w:color="auto"/>
            <w:right w:val="none" w:sz="0" w:space="0" w:color="auto"/>
          </w:divBdr>
        </w:div>
        <w:div w:id="2135832839">
          <w:marLeft w:val="0"/>
          <w:marRight w:val="0"/>
          <w:marTop w:val="0"/>
          <w:marBottom w:val="200"/>
          <w:divBdr>
            <w:top w:val="none" w:sz="0" w:space="0" w:color="auto"/>
            <w:left w:val="none" w:sz="0" w:space="0" w:color="auto"/>
            <w:bottom w:val="none" w:sz="0" w:space="0" w:color="auto"/>
            <w:right w:val="none" w:sz="0" w:space="0" w:color="auto"/>
          </w:divBdr>
        </w:div>
        <w:div w:id="1629356238">
          <w:marLeft w:val="0"/>
          <w:marRight w:val="0"/>
          <w:marTop w:val="0"/>
          <w:marBottom w:val="200"/>
          <w:divBdr>
            <w:top w:val="none" w:sz="0" w:space="0" w:color="auto"/>
            <w:left w:val="none" w:sz="0" w:space="0" w:color="auto"/>
            <w:bottom w:val="none" w:sz="0" w:space="0" w:color="auto"/>
            <w:right w:val="none" w:sz="0" w:space="0" w:color="auto"/>
          </w:divBdr>
        </w:div>
        <w:div w:id="1740595077">
          <w:marLeft w:val="0"/>
          <w:marRight w:val="0"/>
          <w:marTop w:val="0"/>
          <w:marBottom w:val="200"/>
          <w:divBdr>
            <w:top w:val="none" w:sz="0" w:space="0" w:color="auto"/>
            <w:left w:val="none" w:sz="0" w:space="0" w:color="auto"/>
            <w:bottom w:val="none" w:sz="0" w:space="0" w:color="auto"/>
            <w:right w:val="none" w:sz="0" w:space="0" w:color="auto"/>
          </w:divBdr>
        </w:div>
      </w:divsChild>
    </w:div>
    <w:div w:id="93403079">
      <w:bodyDiv w:val="1"/>
      <w:marLeft w:val="0"/>
      <w:marRight w:val="0"/>
      <w:marTop w:val="0"/>
      <w:marBottom w:val="0"/>
      <w:divBdr>
        <w:top w:val="none" w:sz="0" w:space="0" w:color="auto"/>
        <w:left w:val="none" w:sz="0" w:space="0" w:color="auto"/>
        <w:bottom w:val="none" w:sz="0" w:space="0" w:color="auto"/>
        <w:right w:val="none" w:sz="0" w:space="0" w:color="auto"/>
      </w:divBdr>
    </w:div>
    <w:div w:id="109133247">
      <w:bodyDiv w:val="1"/>
      <w:marLeft w:val="0"/>
      <w:marRight w:val="0"/>
      <w:marTop w:val="0"/>
      <w:marBottom w:val="0"/>
      <w:divBdr>
        <w:top w:val="none" w:sz="0" w:space="0" w:color="auto"/>
        <w:left w:val="none" w:sz="0" w:space="0" w:color="auto"/>
        <w:bottom w:val="none" w:sz="0" w:space="0" w:color="auto"/>
        <w:right w:val="none" w:sz="0" w:space="0" w:color="auto"/>
      </w:divBdr>
    </w:div>
    <w:div w:id="145703666">
      <w:bodyDiv w:val="1"/>
      <w:marLeft w:val="0"/>
      <w:marRight w:val="0"/>
      <w:marTop w:val="0"/>
      <w:marBottom w:val="0"/>
      <w:divBdr>
        <w:top w:val="none" w:sz="0" w:space="0" w:color="auto"/>
        <w:left w:val="none" w:sz="0" w:space="0" w:color="auto"/>
        <w:bottom w:val="none" w:sz="0" w:space="0" w:color="auto"/>
        <w:right w:val="none" w:sz="0" w:space="0" w:color="auto"/>
      </w:divBdr>
    </w:div>
    <w:div w:id="161707118">
      <w:bodyDiv w:val="1"/>
      <w:marLeft w:val="0"/>
      <w:marRight w:val="0"/>
      <w:marTop w:val="0"/>
      <w:marBottom w:val="0"/>
      <w:divBdr>
        <w:top w:val="none" w:sz="0" w:space="0" w:color="auto"/>
        <w:left w:val="none" w:sz="0" w:space="0" w:color="auto"/>
        <w:bottom w:val="none" w:sz="0" w:space="0" w:color="auto"/>
        <w:right w:val="none" w:sz="0" w:space="0" w:color="auto"/>
      </w:divBdr>
    </w:div>
    <w:div w:id="199587511">
      <w:bodyDiv w:val="1"/>
      <w:marLeft w:val="0"/>
      <w:marRight w:val="0"/>
      <w:marTop w:val="0"/>
      <w:marBottom w:val="0"/>
      <w:divBdr>
        <w:top w:val="none" w:sz="0" w:space="0" w:color="auto"/>
        <w:left w:val="none" w:sz="0" w:space="0" w:color="auto"/>
        <w:bottom w:val="none" w:sz="0" w:space="0" w:color="auto"/>
        <w:right w:val="none" w:sz="0" w:space="0" w:color="auto"/>
      </w:divBdr>
    </w:div>
    <w:div w:id="222910459">
      <w:bodyDiv w:val="1"/>
      <w:marLeft w:val="0"/>
      <w:marRight w:val="0"/>
      <w:marTop w:val="0"/>
      <w:marBottom w:val="0"/>
      <w:divBdr>
        <w:top w:val="none" w:sz="0" w:space="0" w:color="auto"/>
        <w:left w:val="none" w:sz="0" w:space="0" w:color="auto"/>
        <w:bottom w:val="none" w:sz="0" w:space="0" w:color="auto"/>
        <w:right w:val="none" w:sz="0" w:space="0" w:color="auto"/>
      </w:divBdr>
    </w:div>
    <w:div w:id="249509311">
      <w:bodyDiv w:val="1"/>
      <w:marLeft w:val="0"/>
      <w:marRight w:val="0"/>
      <w:marTop w:val="0"/>
      <w:marBottom w:val="0"/>
      <w:divBdr>
        <w:top w:val="none" w:sz="0" w:space="0" w:color="auto"/>
        <w:left w:val="none" w:sz="0" w:space="0" w:color="auto"/>
        <w:bottom w:val="none" w:sz="0" w:space="0" w:color="auto"/>
        <w:right w:val="none" w:sz="0" w:space="0" w:color="auto"/>
      </w:divBdr>
      <w:divsChild>
        <w:div w:id="1912617230">
          <w:marLeft w:val="0"/>
          <w:marRight w:val="0"/>
          <w:marTop w:val="240"/>
          <w:marBottom w:val="240"/>
          <w:divBdr>
            <w:top w:val="none" w:sz="0" w:space="0" w:color="auto"/>
            <w:left w:val="none" w:sz="0" w:space="0" w:color="auto"/>
            <w:bottom w:val="none" w:sz="0" w:space="0" w:color="auto"/>
            <w:right w:val="none" w:sz="0" w:space="0" w:color="auto"/>
          </w:divBdr>
        </w:div>
        <w:div w:id="1718695712">
          <w:marLeft w:val="0"/>
          <w:marRight w:val="0"/>
          <w:marTop w:val="240"/>
          <w:marBottom w:val="240"/>
          <w:divBdr>
            <w:top w:val="none" w:sz="0" w:space="0" w:color="auto"/>
            <w:left w:val="none" w:sz="0" w:space="0" w:color="auto"/>
            <w:bottom w:val="none" w:sz="0" w:space="0" w:color="auto"/>
            <w:right w:val="none" w:sz="0" w:space="0" w:color="auto"/>
          </w:divBdr>
        </w:div>
        <w:div w:id="2028092271">
          <w:marLeft w:val="0"/>
          <w:marRight w:val="0"/>
          <w:marTop w:val="240"/>
          <w:marBottom w:val="240"/>
          <w:divBdr>
            <w:top w:val="none" w:sz="0" w:space="0" w:color="auto"/>
            <w:left w:val="none" w:sz="0" w:space="0" w:color="auto"/>
            <w:bottom w:val="none" w:sz="0" w:space="0" w:color="auto"/>
            <w:right w:val="none" w:sz="0" w:space="0" w:color="auto"/>
          </w:divBdr>
        </w:div>
        <w:div w:id="412050866">
          <w:marLeft w:val="0"/>
          <w:marRight w:val="0"/>
          <w:marTop w:val="240"/>
          <w:marBottom w:val="240"/>
          <w:divBdr>
            <w:top w:val="none" w:sz="0" w:space="0" w:color="auto"/>
            <w:left w:val="none" w:sz="0" w:space="0" w:color="auto"/>
            <w:bottom w:val="none" w:sz="0" w:space="0" w:color="auto"/>
            <w:right w:val="none" w:sz="0" w:space="0" w:color="auto"/>
          </w:divBdr>
        </w:div>
        <w:div w:id="158430437">
          <w:marLeft w:val="0"/>
          <w:marRight w:val="0"/>
          <w:marTop w:val="240"/>
          <w:marBottom w:val="240"/>
          <w:divBdr>
            <w:top w:val="none" w:sz="0" w:space="0" w:color="auto"/>
            <w:left w:val="none" w:sz="0" w:space="0" w:color="auto"/>
            <w:bottom w:val="none" w:sz="0" w:space="0" w:color="auto"/>
            <w:right w:val="none" w:sz="0" w:space="0" w:color="auto"/>
          </w:divBdr>
        </w:div>
        <w:div w:id="562448333">
          <w:marLeft w:val="0"/>
          <w:marRight w:val="0"/>
          <w:marTop w:val="240"/>
          <w:marBottom w:val="240"/>
          <w:divBdr>
            <w:top w:val="none" w:sz="0" w:space="0" w:color="auto"/>
            <w:left w:val="none" w:sz="0" w:space="0" w:color="auto"/>
            <w:bottom w:val="none" w:sz="0" w:space="0" w:color="auto"/>
            <w:right w:val="none" w:sz="0" w:space="0" w:color="auto"/>
          </w:divBdr>
        </w:div>
      </w:divsChild>
    </w:div>
    <w:div w:id="452210554">
      <w:bodyDiv w:val="1"/>
      <w:marLeft w:val="0"/>
      <w:marRight w:val="0"/>
      <w:marTop w:val="0"/>
      <w:marBottom w:val="0"/>
      <w:divBdr>
        <w:top w:val="none" w:sz="0" w:space="0" w:color="auto"/>
        <w:left w:val="none" w:sz="0" w:space="0" w:color="auto"/>
        <w:bottom w:val="none" w:sz="0" w:space="0" w:color="auto"/>
        <w:right w:val="none" w:sz="0" w:space="0" w:color="auto"/>
      </w:divBdr>
    </w:div>
    <w:div w:id="507595280">
      <w:bodyDiv w:val="1"/>
      <w:marLeft w:val="0"/>
      <w:marRight w:val="0"/>
      <w:marTop w:val="0"/>
      <w:marBottom w:val="0"/>
      <w:divBdr>
        <w:top w:val="none" w:sz="0" w:space="0" w:color="auto"/>
        <w:left w:val="none" w:sz="0" w:space="0" w:color="auto"/>
        <w:bottom w:val="none" w:sz="0" w:space="0" w:color="auto"/>
        <w:right w:val="none" w:sz="0" w:space="0" w:color="auto"/>
      </w:divBdr>
    </w:div>
    <w:div w:id="599794473">
      <w:bodyDiv w:val="1"/>
      <w:marLeft w:val="0"/>
      <w:marRight w:val="0"/>
      <w:marTop w:val="0"/>
      <w:marBottom w:val="0"/>
      <w:divBdr>
        <w:top w:val="none" w:sz="0" w:space="0" w:color="auto"/>
        <w:left w:val="none" w:sz="0" w:space="0" w:color="auto"/>
        <w:bottom w:val="none" w:sz="0" w:space="0" w:color="auto"/>
        <w:right w:val="none" w:sz="0" w:space="0" w:color="auto"/>
      </w:divBdr>
    </w:div>
    <w:div w:id="640811325">
      <w:bodyDiv w:val="1"/>
      <w:marLeft w:val="0"/>
      <w:marRight w:val="0"/>
      <w:marTop w:val="0"/>
      <w:marBottom w:val="0"/>
      <w:divBdr>
        <w:top w:val="none" w:sz="0" w:space="0" w:color="auto"/>
        <w:left w:val="none" w:sz="0" w:space="0" w:color="auto"/>
        <w:bottom w:val="none" w:sz="0" w:space="0" w:color="auto"/>
        <w:right w:val="none" w:sz="0" w:space="0" w:color="auto"/>
      </w:divBdr>
    </w:div>
    <w:div w:id="679509557">
      <w:bodyDiv w:val="1"/>
      <w:marLeft w:val="0"/>
      <w:marRight w:val="0"/>
      <w:marTop w:val="0"/>
      <w:marBottom w:val="0"/>
      <w:divBdr>
        <w:top w:val="none" w:sz="0" w:space="0" w:color="auto"/>
        <w:left w:val="none" w:sz="0" w:space="0" w:color="auto"/>
        <w:bottom w:val="none" w:sz="0" w:space="0" w:color="auto"/>
        <w:right w:val="none" w:sz="0" w:space="0" w:color="auto"/>
      </w:divBdr>
    </w:div>
    <w:div w:id="698240573">
      <w:bodyDiv w:val="1"/>
      <w:marLeft w:val="0"/>
      <w:marRight w:val="0"/>
      <w:marTop w:val="0"/>
      <w:marBottom w:val="0"/>
      <w:divBdr>
        <w:top w:val="none" w:sz="0" w:space="0" w:color="auto"/>
        <w:left w:val="none" w:sz="0" w:space="0" w:color="auto"/>
        <w:bottom w:val="none" w:sz="0" w:space="0" w:color="auto"/>
        <w:right w:val="none" w:sz="0" w:space="0" w:color="auto"/>
      </w:divBdr>
    </w:div>
    <w:div w:id="733620812">
      <w:bodyDiv w:val="1"/>
      <w:marLeft w:val="0"/>
      <w:marRight w:val="0"/>
      <w:marTop w:val="0"/>
      <w:marBottom w:val="0"/>
      <w:divBdr>
        <w:top w:val="none" w:sz="0" w:space="0" w:color="auto"/>
        <w:left w:val="none" w:sz="0" w:space="0" w:color="auto"/>
        <w:bottom w:val="none" w:sz="0" w:space="0" w:color="auto"/>
        <w:right w:val="none" w:sz="0" w:space="0" w:color="auto"/>
      </w:divBdr>
    </w:div>
    <w:div w:id="753477154">
      <w:bodyDiv w:val="1"/>
      <w:marLeft w:val="0"/>
      <w:marRight w:val="0"/>
      <w:marTop w:val="0"/>
      <w:marBottom w:val="0"/>
      <w:divBdr>
        <w:top w:val="none" w:sz="0" w:space="0" w:color="auto"/>
        <w:left w:val="none" w:sz="0" w:space="0" w:color="auto"/>
        <w:bottom w:val="none" w:sz="0" w:space="0" w:color="auto"/>
        <w:right w:val="none" w:sz="0" w:space="0" w:color="auto"/>
      </w:divBdr>
    </w:div>
    <w:div w:id="785394558">
      <w:bodyDiv w:val="1"/>
      <w:marLeft w:val="0"/>
      <w:marRight w:val="0"/>
      <w:marTop w:val="0"/>
      <w:marBottom w:val="0"/>
      <w:divBdr>
        <w:top w:val="none" w:sz="0" w:space="0" w:color="auto"/>
        <w:left w:val="none" w:sz="0" w:space="0" w:color="auto"/>
        <w:bottom w:val="none" w:sz="0" w:space="0" w:color="auto"/>
        <w:right w:val="none" w:sz="0" w:space="0" w:color="auto"/>
      </w:divBdr>
    </w:div>
    <w:div w:id="830830743">
      <w:bodyDiv w:val="1"/>
      <w:marLeft w:val="0"/>
      <w:marRight w:val="0"/>
      <w:marTop w:val="0"/>
      <w:marBottom w:val="0"/>
      <w:divBdr>
        <w:top w:val="none" w:sz="0" w:space="0" w:color="auto"/>
        <w:left w:val="none" w:sz="0" w:space="0" w:color="auto"/>
        <w:bottom w:val="none" w:sz="0" w:space="0" w:color="auto"/>
        <w:right w:val="none" w:sz="0" w:space="0" w:color="auto"/>
      </w:divBdr>
    </w:div>
    <w:div w:id="833646701">
      <w:bodyDiv w:val="1"/>
      <w:marLeft w:val="0"/>
      <w:marRight w:val="0"/>
      <w:marTop w:val="0"/>
      <w:marBottom w:val="0"/>
      <w:divBdr>
        <w:top w:val="none" w:sz="0" w:space="0" w:color="auto"/>
        <w:left w:val="none" w:sz="0" w:space="0" w:color="auto"/>
        <w:bottom w:val="none" w:sz="0" w:space="0" w:color="auto"/>
        <w:right w:val="none" w:sz="0" w:space="0" w:color="auto"/>
      </w:divBdr>
    </w:div>
    <w:div w:id="944120629">
      <w:bodyDiv w:val="1"/>
      <w:marLeft w:val="0"/>
      <w:marRight w:val="0"/>
      <w:marTop w:val="0"/>
      <w:marBottom w:val="0"/>
      <w:divBdr>
        <w:top w:val="none" w:sz="0" w:space="0" w:color="auto"/>
        <w:left w:val="none" w:sz="0" w:space="0" w:color="auto"/>
        <w:bottom w:val="none" w:sz="0" w:space="0" w:color="auto"/>
        <w:right w:val="none" w:sz="0" w:space="0" w:color="auto"/>
      </w:divBdr>
    </w:div>
    <w:div w:id="1049571750">
      <w:bodyDiv w:val="1"/>
      <w:marLeft w:val="0"/>
      <w:marRight w:val="0"/>
      <w:marTop w:val="0"/>
      <w:marBottom w:val="0"/>
      <w:divBdr>
        <w:top w:val="none" w:sz="0" w:space="0" w:color="auto"/>
        <w:left w:val="none" w:sz="0" w:space="0" w:color="auto"/>
        <w:bottom w:val="none" w:sz="0" w:space="0" w:color="auto"/>
        <w:right w:val="none" w:sz="0" w:space="0" w:color="auto"/>
      </w:divBdr>
    </w:div>
    <w:div w:id="1166632570">
      <w:bodyDiv w:val="1"/>
      <w:marLeft w:val="0"/>
      <w:marRight w:val="0"/>
      <w:marTop w:val="0"/>
      <w:marBottom w:val="0"/>
      <w:divBdr>
        <w:top w:val="none" w:sz="0" w:space="0" w:color="auto"/>
        <w:left w:val="none" w:sz="0" w:space="0" w:color="auto"/>
        <w:bottom w:val="none" w:sz="0" w:space="0" w:color="auto"/>
        <w:right w:val="none" w:sz="0" w:space="0" w:color="auto"/>
      </w:divBdr>
    </w:div>
    <w:div w:id="1201741327">
      <w:bodyDiv w:val="1"/>
      <w:marLeft w:val="0"/>
      <w:marRight w:val="0"/>
      <w:marTop w:val="0"/>
      <w:marBottom w:val="0"/>
      <w:divBdr>
        <w:top w:val="none" w:sz="0" w:space="0" w:color="auto"/>
        <w:left w:val="none" w:sz="0" w:space="0" w:color="auto"/>
        <w:bottom w:val="none" w:sz="0" w:space="0" w:color="auto"/>
        <w:right w:val="none" w:sz="0" w:space="0" w:color="auto"/>
      </w:divBdr>
    </w:div>
    <w:div w:id="1216966723">
      <w:bodyDiv w:val="1"/>
      <w:marLeft w:val="0"/>
      <w:marRight w:val="0"/>
      <w:marTop w:val="0"/>
      <w:marBottom w:val="0"/>
      <w:divBdr>
        <w:top w:val="none" w:sz="0" w:space="0" w:color="auto"/>
        <w:left w:val="none" w:sz="0" w:space="0" w:color="auto"/>
        <w:bottom w:val="none" w:sz="0" w:space="0" w:color="auto"/>
        <w:right w:val="none" w:sz="0" w:space="0" w:color="auto"/>
      </w:divBdr>
    </w:div>
    <w:div w:id="1310597737">
      <w:bodyDiv w:val="1"/>
      <w:marLeft w:val="0"/>
      <w:marRight w:val="0"/>
      <w:marTop w:val="0"/>
      <w:marBottom w:val="0"/>
      <w:divBdr>
        <w:top w:val="none" w:sz="0" w:space="0" w:color="auto"/>
        <w:left w:val="none" w:sz="0" w:space="0" w:color="auto"/>
        <w:bottom w:val="none" w:sz="0" w:space="0" w:color="auto"/>
        <w:right w:val="none" w:sz="0" w:space="0" w:color="auto"/>
      </w:divBdr>
    </w:div>
    <w:div w:id="1314482563">
      <w:bodyDiv w:val="1"/>
      <w:marLeft w:val="0"/>
      <w:marRight w:val="0"/>
      <w:marTop w:val="0"/>
      <w:marBottom w:val="0"/>
      <w:divBdr>
        <w:top w:val="none" w:sz="0" w:space="0" w:color="auto"/>
        <w:left w:val="none" w:sz="0" w:space="0" w:color="auto"/>
        <w:bottom w:val="none" w:sz="0" w:space="0" w:color="auto"/>
        <w:right w:val="none" w:sz="0" w:space="0" w:color="auto"/>
      </w:divBdr>
      <w:divsChild>
        <w:div w:id="762146791">
          <w:marLeft w:val="0"/>
          <w:marRight w:val="0"/>
          <w:marTop w:val="0"/>
          <w:marBottom w:val="0"/>
          <w:divBdr>
            <w:top w:val="none" w:sz="0" w:space="0" w:color="auto"/>
            <w:left w:val="none" w:sz="0" w:space="0" w:color="auto"/>
            <w:bottom w:val="none" w:sz="0" w:space="0" w:color="auto"/>
            <w:right w:val="none" w:sz="0" w:space="0" w:color="auto"/>
          </w:divBdr>
        </w:div>
        <w:div w:id="204224400">
          <w:marLeft w:val="0"/>
          <w:marRight w:val="0"/>
          <w:marTop w:val="0"/>
          <w:marBottom w:val="0"/>
          <w:divBdr>
            <w:top w:val="none" w:sz="0" w:space="0" w:color="auto"/>
            <w:left w:val="none" w:sz="0" w:space="0" w:color="auto"/>
            <w:bottom w:val="none" w:sz="0" w:space="0" w:color="auto"/>
            <w:right w:val="none" w:sz="0" w:space="0" w:color="auto"/>
          </w:divBdr>
        </w:div>
        <w:div w:id="896086447">
          <w:marLeft w:val="0"/>
          <w:marRight w:val="0"/>
          <w:marTop w:val="0"/>
          <w:marBottom w:val="0"/>
          <w:divBdr>
            <w:top w:val="none" w:sz="0" w:space="0" w:color="auto"/>
            <w:left w:val="none" w:sz="0" w:space="0" w:color="auto"/>
            <w:bottom w:val="none" w:sz="0" w:space="0" w:color="auto"/>
            <w:right w:val="none" w:sz="0" w:space="0" w:color="auto"/>
          </w:divBdr>
        </w:div>
        <w:div w:id="388069862">
          <w:marLeft w:val="0"/>
          <w:marRight w:val="0"/>
          <w:marTop w:val="0"/>
          <w:marBottom w:val="0"/>
          <w:divBdr>
            <w:top w:val="none" w:sz="0" w:space="0" w:color="auto"/>
            <w:left w:val="none" w:sz="0" w:space="0" w:color="auto"/>
            <w:bottom w:val="none" w:sz="0" w:space="0" w:color="auto"/>
            <w:right w:val="none" w:sz="0" w:space="0" w:color="auto"/>
          </w:divBdr>
        </w:div>
        <w:div w:id="567612420">
          <w:marLeft w:val="0"/>
          <w:marRight w:val="0"/>
          <w:marTop w:val="0"/>
          <w:marBottom w:val="0"/>
          <w:divBdr>
            <w:top w:val="none" w:sz="0" w:space="0" w:color="auto"/>
            <w:left w:val="none" w:sz="0" w:space="0" w:color="auto"/>
            <w:bottom w:val="none" w:sz="0" w:space="0" w:color="auto"/>
            <w:right w:val="none" w:sz="0" w:space="0" w:color="auto"/>
          </w:divBdr>
        </w:div>
        <w:div w:id="1641419347">
          <w:marLeft w:val="0"/>
          <w:marRight w:val="0"/>
          <w:marTop w:val="0"/>
          <w:marBottom w:val="0"/>
          <w:divBdr>
            <w:top w:val="none" w:sz="0" w:space="0" w:color="auto"/>
            <w:left w:val="none" w:sz="0" w:space="0" w:color="auto"/>
            <w:bottom w:val="none" w:sz="0" w:space="0" w:color="auto"/>
            <w:right w:val="none" w:sz="0" w:space="0" w:color="auto"/>
          </w:divBdr>
        </w:div>
        <w:div w:id="2094622366">
          <w:marLeft w:val="0"/>
          <w:marRight w:val="0"/>
          <w:marTop w:val="0"/>
          <w:marBottom w:val="0"/>
          <w:divBdr>
            <w:top w:val="none" w:sz="0" w:space="0" w:color="auto"/>
            <w:left w:val="none" w:sz="0" w:space="0" w:color="auto"/>
            <w:bottom w:val="none" w:sz="0" w:space="0" w:color="auto"/>
            <w:right w:val="none" w:sz="0" w:space="0" w:color="auto"/>
          </w:divBdr>
        </w:div>
        <w:div w:id="1402828329">
          <w:marLeft w:val="0"/>
          <w:marRight w:val="0"/>
          <w:marTop w:val="0"/>
          <w:marBottom w:val="0"/>
          <w:divBdr>
            <w:top w:val="none" w:sz="0" w:space="0" w:color="auto"/>
            <w:left w:val="none" w:sz="0" w:space="0" w:color="auto"/>
            <w:bottom w:val="none" w:sz="0" w:space="0" w:color="auto"/>
            <w:right w:val="none" w:sz="0" w:space="0" w:color="auto"/>
          </w:divBdr>
        </w:div>
        <w:div w:id="925499816">
          <w:marLeft w:val="0"/>
          <w:marRight w:val="0"/>
          <w:marTop w:val="0"/>
          <w:marBottom w:val="0"/>
          <w:divBdr>
            <w:top w:val="none" w:sz="0" w:space="0" w:color="auto"/>
            <w:left w:val="none" w:sz="0" w:space="0" w:color="auto"/>
            <w:bottom w:val="none" w:sz="0" w:space="0" w:color="auto"/>
            <w:right w:val="none" w:sz="0" w:space="0" w:color="auto"/>
          </w:divBdr>
        </w:div>
        <w:div w:id="546188494">
          <w:marLeft w:val="0"/>
          <w:marRight w:val="0"/>
          <w:marTop w:val="0"/>
          <w:marBottom w:val="0"/>
          <w:divBdr>
            <w:top w:val="none" w:sz="0" w:space="0" w:color="auto"/>
            <w:left w:val="none" w:sz="0" w:space="0" w:color="auto"/>
            <w:bottom w:val="none" w:sz="0" w:space="0" w:color="auto"/>
            <w:right w:val="none" w:sz="0" w:space="0" w:color="auto"/>
          </w:divBdr>
        </w:div>
        <w:div w:id="1990133390">
          <w:marLeft w:val="0"/>
          <w:marRight w:val="0"/>
          <w:marTop w:val="0"/>
          <w:marBottom w:val="0"/>
          <w:divBdr>
            <w:top w:val="none" w:sz="0" w:space="0" w:color="auto"/>
            <w:left w:val="none" w:sz="0" w:space="0" w:color="auto"/>
            <w:bottom w:val="none" w:sz="0" w:space="0" w:color="auto"/>
            <w:right w:val="none" w:sz="0" w:space="0" w:color="auto"/>
          </w:divBdr>
        </w:div>
        <w:div w:id="2082485080">
          <w:marLeft w:val="0"/>
          <w:marRight w:val="0"/>
          <w:marTop w:val="0"/>
          <w:marBottom w:val="0"/>
          <w:divBdr>
            <w:top w:val="none" w:sz="0" w:space="0" w:color="auto"/>
            <w:left w:val="none" w:sz="0" w:space="0" w:color="auto"/>
            <w:bottom w:val="none" w:sz="0" w:space="0" w:color="auto"/>
            <w:right w:val="none" w:sz="0" w:space="0" w:color="auto"/>
          </w:divBdr>
        </w:div>
        <w:div w:id="993025668">
          <w:marLeft w:val="0"/>
          <w:marRight w:val="0"/>
          <w:marTop w:val="0"/>
          <w:marBottom w:val="0"/>
          <w:divBdr>
            <w:top w:val="none" w:sz="0" w:space="0" w:color="auto"/>
            <w:left w:val="none" w:sz="0" w:space="0" w:color="auto"/>
            <w:bottom w:val="none" w:sz="0" w:space="0" w:color="auto"/>
            <w:right w:val="none" w:sz="0" w:space="0" w:color="auto"/>
          </w:divBdr>
        </w:div>
        <w:div w:id="459686616">
          <w:marLeft w:val="0"/>
          <w:marRight w:val="0"/>
          <w:marTop w:val="0"/>
          <w:marBottom w:val="0"/>
          <w:divBdr>
            <w:top w:val="none" w:sz="0" w:space="0" w:color="auto"/>
            <w:left w:val="none" w:sz="0" w:space="0" w:color="auto"/>
            <w:bottom w:val="none" w:sz="0" w:space="0" w:color="auto"/>
            <w:right w:val="none" w:sz="0" w:space="0" w:color="auto"/>
          </w:divBdr>
        </w:div>
        <w:div w:id="1901281417">
          <w:marLeft w:val="0"/>
          <w:marRight w:val="0"/>
          <w:marTop w:val="0"/>
          <w:marBottom w:val="0"/>
          <w:divBdr>
            <w:top w:val="none" w:sz="0" w:space="0" w:color="auto"/>
            <w:left w:val="none" w:sz="0" w:space="0" w:color="auto"/>
            <w:bottom w:val="none" w:sz="0" w:space="0" w:color="auto"/>
            <w:right w:val="none" w:sz="0" w:space="0" w:color="auto"/>
          </w:divBdr>
        </w:div>
        <w:div w:id="1855877259">
          <w:marLeft w:val="0"/>
          <w:marRight w:val="0"/>
          <w:marTop w:val="0"/>
          <w:marBottom w:val="0"/>
          <w:divBdr>
            <w:top w:val="none" w:sz="0" w:space="0" w:color="auto"/>
            <w:left w:val="none" w:sz="0" w:space="0" w:color="auto"/>
            <w:bottom w:val="none" w:sz="0" w:space="0" w:color="auto"/>
            <w:right w:val="none" w:sz="0" w:space="0" w:color="auto"/>
          </w:divBdr>
        </w:div>
        <w:div w:id="1078357907">
          <w:marLeft w:val="0"/>
          <w:marRight w:val="0"/>
          <w:marTop w:val="0"/>
          <w:marBottom w:val="0"/>
          <w:divBdr>
            <w:top w:val="none" w:sz="0" w:space="0" w:color="auto"/>
            <w:left w:val="none" w:sz="0" w:space="0" w:color="auto"/>
            <w:bottom w:val="none" w:sz="0" w:space="0" w:color="auto"/>
            <w:right w:val="none" w:sz="0" w:space="0" w:color="auto"/>
          </w:divBdr>
        </w:div>
        <w:div w:id="264115287">
          <w:marLeft w:val="0"/>
          <w:marRight w:val="0"/>
          <w:marTop w:val="0"/>
          <w:marBottom w:val="0"/>
          <w:divBdr>
            <w:top w:val="none" w:sz="0" w:space="0" w:color="auto"/>
            <w:left w:val="none" w:sz="0" w:space="0" w:color="auto"/>
            <w:bottom w:val="none" w:sz="0" w:space="0" w:color="auto"/>
            <w:right w:val="none" w:sz="0" w:space="0" w:color="auto"/>
          </w:divBdr>
        </w:div>
        <w:div w:id="1558319550">
          <w:marLeft w:val="0"/>
          <w:marRight w:val="0"/>
          <w:marTop w:val="0"/>
          <w:marBottom w:val="0"/>
          <w:divBdr>
            <w:top w:val="none" w:sz="0" w:space="0" w:color="auto"/>
            <w:left w:val="none" w:sz="0" w:space="0" w:color="auto"/>
            <w:bottom w:val="none" w:sz="0" w:space="0" w:color="auto"/>
            <w:right w:val="none" w:sz="0" w:space="0" w:color="auto"/>
          </w:divBdr>
        </w:div>
        <w:div w:id="1015572562">
          <w:marLeft w:val="0"/>
          <w:marRight w:val="0"/>
          <w:marTop w:val="0"/>
          <w:marBottom w:val="0"/>
          <w:divBdr>
            <w:top w:val="none" w:sz="0" w:space="0" w:color="auto"/>
            <w:left w:val="none" w:sz="0" w:space="0" w:color="auto"/>
            <w:bottom w:val="none" w:sz="0" w:space="0" w:color="auto"/>
            <w:right w:val="none" w:sz="0" w:space="0" w:color="auto"/>
          </w:divBdr>
        </w:div>
        <w:div w:id="1001200977">
          <w:marLeft w:val="0"/>
          <w:marRight w:val="0"/>
          <w:marTop w:val="0"/>
          <w:marBottom w:val="0"/>
          <w:divBdr>
            <w:top w:val="none" w:sz="0" w:space="0" w:color="auto"/>
            <w:left w:val="none" w:sz="0" w:space="0" w:color="auto"/>
            <w:bottom w:val="none" w:sz="0" w:space="0" w:color="auto"/>
            <w:right w:val="none" w:sz="0" w:space="0" w:color="auto"/>
          </w:divBdr>
        </w:div>
      </w:divsChild>
    </w:div>
    <w:div w:id="1376152882">
      <w:bodyDiv w:val="1"/>
      <w:marLeft w:val="0"/>
      <w:marRight w:val="0"/>
      <w:marTop w:val="0"/>
      <w:marBottom w:val="0"/>
      <w:divBdr>
        <w:top w:val="none" w:sz="0" w:space="0" w:color="auto"/>
        <w:left w:val="none" w:sz="0" w:space="0" w:color="auto"/>
        <w:bottom w:val="none" w:sz="0" w:space="0" w:color="auto"/>
        <w:right w:val="none" w:sz="0" w:space="0" w:color="auto"/>
      </w:divBdr>
    </w:div>
    <w:div w:id="1447039990">
      <w:bodyDiv w:val="1"/>
      <w:marLeft w:val="0"/>
      <w:marRight w:val="0"/>
      <w:marTop w:val="0"/>
      <w:marBottom w:val="0"/>
      <w:divBdr>
        <w:top w:val="none" w:sz="0" w:space="0" w:color="auto"/>
        <w:left w:val="none" w:sz="0" w:space="0" w:color="auto"/>
        <w:bottom w:val="none" w:sz="0" w:space="0" w:color="auto"/>
        <w:right w:val="none" w:sz="0" w:space="0" w:color="auto"/>
      </w:divBdr>
    </w:div>
    <w:div w:id="1459836002">
      <w:bodyDiv w:val="1"/>
      <w:marLeft w:val="0"/>
      <w:marRight w:val="0"/>
      <w:marTop w:val="0"/>
      <w:marBottom w:val="0"/>
      <w:divBdr>
        <w:top w:val="none" w:sz="0" w:space="0" w:color="auto"/>
        <w:left w:val="none" w:sz="0" w:space="0" w:color="auto"/>
        <w:bottom w:val="none" w:sz="0" w:space="0" w:color="auto"/>
        <w:right w:val="none" w:sz="0" w:space="0" w:color="auto"/>
      </w:divBdr>
    </w:div>
    <w:div w:id="1471751733">
      <w:bodyDiv w:val="1"/>
      <w:marLeft w:val="0"/>
      <w:marRight w:val="0"/>
      <w:marTop w:val="0"/>
      <w:marBottom w:val="0"/>
      <w:divBdr>
        <w:top w:val="none" w:sz="0" w:space="0" w:color="auto"/>
        <w:left w:val="none" w:sz="0" w:space="0" w:color="auto"/>
        <w:bottom w:val="none" w:sz="0" w:space="0" w:color="auto"/>
        <w:right w:val="none" w:sz="0" w:space="0" w:color="auto"/>
      </w:divBdr>
    </w:div>
    <w:div w:id="1501852188">
      <w:bodyDiv w:val="1"/>
      <w:marLeft w:val="0"/>
      <w:marRight w:val="0"/>
      <w:marTop w:val="0"/>
      <w:marBottom w:val="0"/>
      <w:divBdr>
        <w:top w:val="none" w:sz="0" w:space="0" w:color="auto"/>
        <w:left w:val="none" w:sz="0" w:space="0" w:color="auto"/>
        <w:bottom w:val="none" w:sz="0" w:space="0" w:color="auto"/>
        <w:right w:val="none" w:sz="0" w:space="0" w:color="auto"/>
      </w:divBdr>
      <w:divsChild>
        <w:div w:id="721100254">
          <w:marLeft w:val="0"/>
          <w:marRight w:val="0"/>
          <w:marTop w:val="0"/>
          <w:marBottom w:val="0"/>
          <w:divBdr>
            <w:top w:val="none" w:sz="0" w:space="0" w:color="auto"/>
            <w:left w:val="none" w:sz="0" w:space="0" w:color="auto"/>
            <w:bottom w:val="none" w:sz="0" w:space="0" w:color="auto"/>
            <w:right w:val="none" w:sz="0" w:space="0" w:color="auto"/>
          </w:divBdr>
        </w:div>
        <w:div w:id="1896089566">
          <w:marLeft w:val="0"/>
          <w:marRight w:val="0"/>
          <w:marTop w:val="0"/>
          <w:marBottom w:val="0"/>
          <w:divBdr>
            <w:top w:val="none" w:sz="0" w:space="0" w:color="auto"/>
            <w:left w:val="none" w:sz="0" w:space="0" w:color="auto"/>
            <w:bottom w:val="none" w:sz="0" w:space="0" w:color="auto"/>
            <w:right w:val="none" w:sz="0" w:space="0" w:color="auto"/>
          </w:divBdr>
        </w:div>
        <w:div w:id="1824271192">
          <w:marLeft w:val="0"/>
          <w:marRight w:val="0"/>
          <w:marTop w:val="0"/>
          <w:marBottom w:val="0"/>
          <w:divBdr>
            <w:top w:val="none" w:sz="0" w:space="0" w:color="auto"/>
            <w:left w:val="none" w:sz="0" w:space="0" w:color="auto"/>
            <w:bottom w:val="none" w:sz="0" w:space="0" w:color="auto"/>
            <w:right w:val="none" w:sz="0" w:space="0" w:color="auto"/>
          </w:divBdr>
        </w:div>
      </w:divsChild>
    </w:div>
    <w:div w:id="1509128237">
      <w:bodyDiv w:val="1"/>
      <w:marLeft w:val="0"/>
      <w:marRight w:val="0"/>
      <w:marTop w:val="0"/>
      <w:marBottom w:val="0"/>
      <w:divBdr>
        <w:top w:val="none" w:sz="0" w:space="0" w:color="auto"/>
        <w:left w:val="none" w:sz="0" w:space="0" w:color="auto"/>
        <w:bottom w:val="none" w:sz="0" w:space="0" w:color="auto"/>
        <w:right w:val="none" w:sz="0" w:space="0" w:color="auto"/>
      </w:divBdr>
      <w:divsChild>
        <w:div w:id="1855803476">
          <w:marLeft w:val="0"/>
          <w:marRight w:val="0"/>
          <w:marTop w:val="0"/>
          <w:marBottom w:val="0"/>
          <w:divBdr>
            <w:top w:val="none" w:sz="0" w:space="0" w:color="auto"/>
            <w:left w:val="none" w:sz="0" w:space="0" w:color="auto"/>
            <w:bottom w:val="none" w:sz="0" w:space="0" w:color="auto"/>
            <w:right w:val="none" w:sz="0" w:space="0" w:color="auto"/>
          </w:divBdr>
        </w:div>
        <w:div w:id="1472013544">
          <w:marLeft w:val="0"/>
          <w:marRight w:val="0"/>
          <w:marTop w:val="240"/>
          <w:marBottom w:val="240"/>
          <w:divBdr>
            <w:top w:val="none" w:sz="0" w:space="0" w:color="auto"/>
            <w:left w:val="none" w:sz="0" w:space="0" w:color="auto"/>
            <w:bottom w:val="none" w:sz="0" w:space="0" w:color="auto"/>
            <w:right w:val="none" w:sz="0" w:space="0" w:color="auto"/>
          </w:divBdr>
        </w:div>
        <w:div w:id="11816224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95986571">
              <w:marLeft w:val="0"/>
              <w:marRight w:val="0"/>
              <w:marTop w:val="240"/>
              <w:marBottom w:val="240"/>
              <w:divBdr>
                <w:top w:val="none" w:sz="0" w:space="0" w:color="auto"/>
                <w:left w:val="none" w:sz="0" w:space="0" w:color="auto"/>
                <w:bottom w:val="none" w:sz="0" w:space="0" w:color="auto"/>
                <w:right w:val="none" w:sz="0" w:space="0" w:color="auto"/>
              </w:divBdr>
            </w:div>
          </w:divsChild>
        </w:div>
        <w:div w:id="1379669338">
          <w:marLeft w:val="0"/>
          <w:marRight w:val="0"/>
          <w:marTop w:val="0"/>
          <w:marBottom w:val="0"/>
          <w:divBdr>
            <w:top w:val="none" w:sz="0" w:space="0" w:color="auto"/>
            <w:left w:val="none" w:sz="0" w:space="0" w:color="auto"/>
            <w:bottom w:val="none" w:sz="0" w:space="0" w:color="auto"/>
            <w:right w:val="none" w:sz="0" w:space="0" w:color="auto"/>
          </w:divBdr>
        </w:div>
        <w:div w:id="903370324">
          <w:marLeft w:val="0"/>
          <w:marRight w:val="0"/>
          <w:marTop w:val="240"/>
          <w:marBottom w:val="240"/>
          <w:divBdr>
            <w:top w:val="none" w:sz="0" w:space="0" w:color="auto"/>
            <w:left w:val="none" w:sz="0" w:space="0" w:color="auto"/>
            <w:bottom w:val="none" w:sz="0" w:space="0" w:color="auto"/>
            <w:right w:val="none" w:sz="0" w:space="0" w:color="auto"/>
          </w:divBdr>
        </w:div>
        <w:div w:id="1612739523">
          <w:marLeft w:val="0"/>
          <w:marRight w:val="0"/>
          <w:marTop w:val="240"/>
          <w:marBottom w:val="240"/>
          <w:divBdr>
            <w:top w:val="none" w:sz="0" w:space="0" w:color="auto"/>
            <w:left w:val="none" w:sz="0" w:space="0" w:color="auto"/>
            <w:bottom w:val="none" w:sz="0" w:space="0" w:color="auto"/>
            <w:right w:val="none" w:sz="0" w:space="0" w:color="auto"/>
          </w:divBdr>
        </w:div>
        <w:div w:id="592477191">
          <w:marLeft w:val="0"/>
          <w:marRight w:val="0"/>
          <w:marTop w:val="240"/>
          <w:marBottom w:val="240"/>
          <w:divBdr>
            <w:top w:val="none" w:sz="0" w:space="0" w:color="auto"/>
            <w:left w:val="none" w:sz="0" w:space="0" w:color="auto"/>
            <w:bottom w:val="none" w:sz="0" w:space="0" w:color="auto"/>
            <w:right w:val="none" w:sz="0" w:space="0" w:color="auto"/>
          </w:divBdr>
        </w:div>
        <w:div w:id="1410342426">
          <w:marLeft w:val="0"/>
          <w:marRight w:val="0"/>
          <w:marTop w:val="240"/>
          <w:marBottom w:val="240"/>
          <w:divBdr>
            <w:top w:val="none" w:sz="0" w:space="0" w:color="auto"/>
            <w:left w:val="none" w:sz="0" w:space="0" w:color="auto"/>
            <w:bottom w:val="none" w:sz="0" w:space="0" w:color="auto"/>
            <w:right w:val="none" w:sz="0" w:space="0" w:color="auto"/>
          </w:divBdr>
        </w:div>
        <w:div w:id="1481384115">
          <w:marLeft w:val="0"/>
          <w:marRight w:val="0"/>
          <w:marTop w:val="240"/>
          <w:marBottom w:val="240"/>
          <w:divBdr>
            <w:top w:val="none" w:sz="0" w:space="0" w:color="auto"/>
            <w:left w:val="none" w:sz="0" w:space="0" w:color="auto"/>
            <w:bottom w:val="none" w:sz="0" w:space="0" w:color="auto"/>
            <w:right w:val="none" w:sz="0" w:space="0" w:color="auto"/>
          </w:divBdr>
        </w:div>
        <w:div w:id="132842228">
          <w:marLeft w:val="0"/>
          <w:marRight w:val="0"/>
          <w:marTop w:val="240"/>
          <w:marBottom w:val="240"/>
          <w:divBdr>
            <w:top w:val="none" w:sz="0" w:space="0" w:color="auto"/>
            <w:left w:val="none" w:sz="0" w:space="0" w:color="auto"/>
            <w:bottom w:val="none" w:sz="0" w:space="0" w:color="auto"/>
            <w:right w:val="none" w:sz="0" w:space="0" w:color="auto"/>
          </w:divBdr>
        </w:div>
      </w:divsChild>
    </w:div>
    <w:div w:id="1519080946">
      <w:bodyDiv w:val="1"/>
      <w:marLeft w:val="0"/>
      <w:marRight w:val="0"/>
      <w:marTop w:val="0"/>
      <w:marBottom w:val="0"/>
      <w:divBdr>
        <w:top w:val="none" w:sz="0" w:space="0" w:color="auto"/>
        <w:left w:val="none" w:sz="0" w:space="0" w:color="auto"/>
        <w:bottom w:val="none" w:sz="0" w:space="0" w:color="auto"/>
        <w:right w:val="none" w:sz="0" w:space="0" w:color="auto"/>
      </w:divBdr>
    </w:div>
    <w:div w:id="1549412472">
      <w:bodyDiv w:val="1"/>
      <w:marLeft w:val="0"/>
      <w:marRight w:val="0"/>
      <w:marTop w:val="0"/>
      <w:marBottom w:val="0"/>
      <w:divBdr>
        <w:top w:val="none" w:sz="0" w:space="0" w:color="auto"/>
        <w:left w:val="none" w:sz="0" w:space="0" w:color="auto"/>
        <w:bottom w:val="none" w:sz="0" w:space="0" w:color="auto"/>
        <w:right w:val="none" w:sz="0" w:space="0" w:color="auto"/>
      </w:divBdr>
      <w:divsChild>
        <w:div w:id="27802485">
          <w:marLeft w:val="0"/>
          <w:marRight w:val="0"/>
          <w:marTop w:val="0"/>
          <w:marBottom w:val="0"/>
          <w:divBdr>
            <w:top w:val="none" w:sz="0" w:space="0" w:color="auto"/>
            <w:left w:val="none" w:sz="0" w:space="0" w:color="auto"/>
            <w:bottom w:val="none" w:sz="0" w:space="0" w:color="auto"/>
            <w:right w:val="none" w:sz="0" w:space="0" w:color="auto"/>
          </w:divBdr>
        </w:div>
        <w:div w:id="56168693">
          <w:marLeft w:val="0"/>
          <w:marRight w:val="0"/>
          <w:marTop w:val="0"/>
          <w:marBottom w:val="0"/>
          <w:divBdr>
            <w:top w:val="none" w:sz="0" w:space="0" w:color="auto"/>
            <w:left w:val="none" w:sz="0" w:space="0" w:color="auto"/>
            <w:bottom w:val="none" w:sz="0" w:space="0" w:color="auto"/>
            <w:right w:val="none" w:sz="0" w:space="0" w:color="auto"/>
          </w:divBdr>
        </w:div>
        <w:div w:id="62222967">
          <w:marLeft w:val="0"/>
          <w:marRight w:val="0"/>
          <w:marTop w:val="0"/>
          <w:marBottom w:val="0"/>
          <w:divBdr>
            <w:top w:val="none" w:sz="0" w:space="0" w:color="auto"/>
            <w:left w:val="none" w:sz="0" w:space="0" w:color="auto"/>
            <w:bottom w:val="none" w:sz="0" w:space="0" w:color="auto"/>
            <w:right w:val="none" w:sz="0" w:space="0" w:color="auto"/>
          </w:divBdr>
        </w:div>
        <w:div w:id="74478862">
          <w:marLeft w:val="0"/>
          <w:marRight w:val="0"/>
          <w:marTop w:val="0"/>
          <w:marBottom w:val="0"/>
          <w:divBdr>
            <w:top w:val="none" w:sz="0" w:space="0" w:color="auto"/>
            <w:left w:val="none" w:sz="0" w:space="0" w:color="auto"/>
            <w:bottom w:val="none" w:sz="0" w:space="0" w:color="auto"/>
            <w:right w:val="none" w:sz="0" w:space="0" w:color="auto"/>
          </w:divBdr>
        </w:div>
        <w:div w:id="74863458">
          <w:marLeft w:val="0"/>
          <w:marRight w:val="0"/>
          <w:marTop w:val="0"/>
          <w:marBottom w:val="0"/>
          <w:divBdr>
            <w:top w:val="none" w:sz="0" w:space="0" w:color="auto"/>
            <w:left w:val="none" w:sz="0" w:space="0" w:color="auto"/>
            <w:bottom w:val="none" w:sz="0" w:space="0" w:color="auto"/>
            <w:right w:val="none" w:sz="0" w:space="0" w:color="auto"/>
          </w:divBdr>
        </w:div>
        <w:div w:id="81490451">
          <w:marLeft w:val="0"/>
          <w:marRight w:val="0"/>
          <w:marTop w:val="0"/>
          <w:marBottom w:val="0"/>
          <w:divBdr>
            <w:top w:val="none" w:sz="0" w:space="0" w:color="auto"/>
            <w:left w:val="none" w:sz="0" w:space="0" w:color="auto"/>
            <w:bottom w:val="none" w:sz="0" w:space="0" w:color="auto"/>
            <w:right w:val="none" w:sz="0" w:space="0" w:color="auto"/>
          </w:divBdr>
        </w:div>
        <w:div w:id="82142058">
          <w:marLeft w:val="0"/>
          <w:marRight w:val="0"/>
          <w:marTop w:val="0"/>
          <w:marBottom w:val="0"/>
          <w:divBdr>
            <w:top w:val="none" w:sz="0" w:space="0" w:color="auto"/>
            <w:left w:val="none" w:sz="0" w:space="0" w:color="auto"/>
            <w:bottom w:val="none" w:sz="0" w:space="0" w:color="auto"/>
            <w:right w:val="none" w:sz="0" w:space="0" w:color="auto"/>
          </w:divBdr>
        </w:div>
        <w:div w:id="122425182">
          <w:marLeft w:val="0"/>
          <w:marRight w:val="0"/>
          <w:marTop w:val="0"/>
          <w:marBottom w:val="0"/>
          <w:divBdr>
            <w:top w:val="none" w:sz="0" w:space="0" w:color="auto"/>
            <w:left w:val="none" w:sz="0" w:space="0" w:color="auto"/>
            <w:bottom w:val="none" w:sz="0" w:space="0" w:color="auto"/>
            <w:right w:val="none" w:sz="0" w:space="0" w:color="auto"/>
          </w:divBdr>
        </w:div>
        <w:div w:id="163517583">
          <w:marLeft w:val="0"/>
          <w:marRight w:val="0"/>
          <w:marTop w:val="0"/>
          <w:marBottom w:val="0"/>
          <w:divBdr>
            <w:top w:val="none" w:sz="0" w:space="0" w:color="auto"/>
            <w:left w:val="none" w:sz="0" w:space="0" w:color="auto"/>
            <w:bottom w:val="none" w:sz="0" w:space="0" w:color="auto"/>
            <w:right w:val="none" w:sz="0" w:space="0" w:color="auto"/>
          </w:divBdr>
        </w:div>
        <w:div w:id="196430123">
          <w:marLeft w:val="0"/>
          <w:marRight w:val="0"/>
          <w:marTop w:val="0"/>
          <w:marBottom w:val="0"/>
          <w:divBdr>
            <w:top w:val="none" w:sz="0" w:space="0" w:color="auto"/>
            <w:left w:val="none" w:sz="0" w:space="0" w:color="auto"/>
            <w:bottom w:val="none" w:sz="0" w:space="0" w:color="auto"/>
            <w:right w:val="none" w:sz="0" w:space="0" w:color="auto"/>
          </w:divBdr>
        </w:div>
        <w:div w:id="228662643">
          <w:marLeft w:val="0"/>
          <w:marRight w:val="0"/>
          <w:marTop w:val="0"/>
          <w:marBottom w:val="0"/>
          <w:divBdr>
            <w:top w:val="none" w:sz="0" w:space="0" w:color="auto"/>
            <w:left w:val="none" w:sz="0" w:space="0" w:color="auto"/>
            <w:bottom w:val="none" w:sz="0" w:space="0" w:color="auto"/>
            <w:right w:val="none" w:sz="0" w:space="0" w:color="auto"/>
          </w:divBdr>
        </w:div>
        <w:div w:id="335423204">
          <w:marLeft w:val="0"/>
          <w:marRight w:val="0"/>
          <w:marTop w:val="0"/>
          <w:marBottom w:val="0"/>
          <w:divBdr>
            <w:top w:val="none" w:sz="0" w:space="0" w:color="auto"/>
            <w:left w:val="none" w:sz="0" w:space="0" w:color="auto"/>
            <w:bottom w:val="none" w:sz="0" w:space="0" w:color="auto"/>
            <w:right w:val="none" w:sz="0" w:space="0" w:color="auto"/>
          </w:divBdr>
        </w:div>
        <w:div w:id="339310321">
          <w:marLeft w:val="0"/>
          <w:marRight w:val="0"/>
          <w:marTop w:val="0"/>
          <w:marBottom w:val="0"/>
          <w:divBdr>
            <w:top w:val="none" w:sz="0" w:space="0" w:color="auto"/>
            <w:left w:val="none" w:sz="0" w:space="0" w:color="auto"/>
            <w:bottom w:val="none" w:sz="0" w:space="0" w:color="auto"/>
            <w:right w:val="none" w:sz="0" w:space="0" w:color="auto"/>
          </w:divBdr>
        </w:div>
        <w:div w:id="340163015">
          <w:marLeft w:val="0"/>
          <w:marRight w:val="0"/>
          <w:marTop w:val="0"/>
          <w:marBottom w:val="0"/>
          <w:divBdr>
            <w:top w:val="none" w:sz="0" w:space="0" w:color="auto"/>
            <w:left w:val="none" w:sz="0" w:space="0" w:color="auto"/>
            <w:bottom w:val="none" w:sz="0" w:space="0" w:color="auto"/>
            <w:right w:val="none" w:sz="0" w:space="0" w:color="auto"/>
          </w:divBdr>
        </w:div>
        <w:div w:id="359429640">
          <w:marLeft w:val="0"/>
          <w:marRight w:val="0"/>
          <w:marTop w:val="0"/>
          <w:marBottom w:val="0"/>
          <w:divBdr>
            <w:top w:val="none" w:sz="0" w:space="0" w:color="auto"/>
            <w:left w:val="none" w:sz="0" w:space="0" w:color="auto"/>
            <w:bottom w:val="none" w:sz="0" w:space="0" w:color="auto"/>
            <w:right w:val="none" w:sz="0" w:space="0" w:color="auto"/>
          </w:divBdr>
        </w:div>
        <w:div w:id="384640313">
          <w:marLeft w:val="0"/>
          <w:marRight w:val="0"/>
          <w:marTop w:val="0"/>
          <w:marBottom w:val="0"/>
          <w:divBdr>
            <w:top w:val="none" w:sz="0" w:space="0" w:color="auto"/>
            <w:left w:val="none" w:sz="0" w:space="0" w:color="auto"/>
            <w:bottom w:val="none" w:sz="0" w:space="0" w:color="auto"/>
            <w:right w:val="none" w:sz="0" w:space="0" w:color="auto"/>
          </w:divBdr>
        </w:div>
        <w:div w:id="386031256">
          <w:marLeft w:val="0"/>
          <w:marRight w:val="0"/>
          <w:marTop w:val="0"/>
          <w:marBottom w:val="0"/>
          <w:divBdr>
            <w:top w:val="none" w:sz="0" w:space="0" w:color="auto"/>
            <w:left w:val="none" w:sz="0" w:space="0" w:color="auto"/>
            <w:bottom w:val="none" w:sz="0" w:space="0" w:color="auto"/>
            <w:right w:val="none" w:sz="0" w:space="0" w:color="auto"/>
          </w:divBdr>
        </w:div>
        <w:div w:id="417092643">
          <w:marLeft w:val="0"/>
          <w:marRight w:val="0"/>
          <w:marTop w:val="0"/>
          <w:marBottom w:val="0"/>
          <w:divBdr>
            <w:top w:val="none" w:sz="0" w:space="0" w:color="auto"/>
            <w:left w:val="none" w:sz="0" w:space="0" w:color="auto"/>
            <w:bottom w:val="none" w:sz="0" w:space="0" w:color="auto"/>
            <w:right w:val="none" w:sz="0" w:space="0" w:color="auto"/>
          </w:divBdr>
          <w:divsChild>
            <w:div w:id="121273713">
              <w:marLeft w:val="0"/>
              <w:marRight w:val="0"/>
              <w:marTop w:val="0"/>
              <w:marBottom w:val="0"/>
              <w:divBdr>
                <w:top w:val="none" w:sz="0" w:space="0" w:color="auto"/>
                <w:left w:val="none" w:sz="0" w:space="0" w:color="auto"/>
                <w:bottom w:val="none" w:sz="0" w:space="0" w:color="auto"/>
                <w:right w:val="none" w:sz="0" w:space="0" w:color="auto"/>
              </w:divBdr>
            </w:div>
            <w:div w:id="122895629">
              <w:marLeft w:val="0"/>
              <w:marRight w:val="0"/>
              <w:marTop w:val="0"/>
              <w:marBottom w:val="0"/>
              <w:divBdr>
                <w:top w:val="none" w:sz="0" w:space="0" w:color="auto"/>
                <w:left w:val="none" w:sz="0" w:space="0" w:color="auto"/>
                <w:bottom w:val="none" w:sz="0" w:space="0" w:color="auto"/>
                <w:right w:val="none" w:sz="0" w:space="0" w:color="auto"/>
              </w:divBdr>
            </w:div>
            <w:div w:id="186724963">
              <w:marLeft w:val="0"/>
              <w:marRight w:val="0"/>
              <w:marTop w:val="0"/>
              <w:marBottom w:val="0"/>
              <w:divBdr>
                <w:top w:val="none" w:sz="0" w:space="0" w:color="auto"/>
                <w:left w:val="none" w:sz="0" w:space="0" w:color="auto"/>
                <w:bottom w:val="none" w:sz="0" w:space="0" w:color="auto"/>
                <w:right w:val="none" w:sz="0" w:space="0" w:color="auto"/>
              </w:divBdr>
            </w:div>
            <w:div w:id="379018800">
              <w:marLeft w:val="0"/>
              <w:marRight w:val="0"/>
              <w:marTop w:val="0"/>
              <w:marBottom w:val="0"/>
              <w:divBdr>
                <w:top w:val="none" w:sz="0" w:space="0" w:color="auto"/>
                <w:left w:val="none" w:sz="0" w:space="0" w:color="auto"/>
                <w:bottom w:val="none" w:sz="0" w:space="0" w:color="auto"/>
                <w:right w:val="none" w:sz="0" w:space="0" w:color="auto"/>
              </w:divBdr>
            </w:div>
            <w:div w:id="774060563">
              <w:marLeft w:val="0"/>
              <w:marRight w:val="0"/>
              <w:marTop w:val="0"/>
              <w:marBottom w:val="0"/>
              <w:divBdr>
                <w:top w:val="none" w:sz="0" w:space="0" w:color="auto"/>
                <w:left w:val="none" w:sz="0" w:space="0" w:color="auto"/>
                <w:bottom w:val="none" w:sz="0" w:space="0" w:color="auto"/>
                <w:right w:val="none" w:sz="0" w:space="0" w:color="auto"/>
              </w:divBdr>
            </w:div>
          </w:divsChild>
        </w:div>
        <w:div w:id="454904783">
          <w:marLeft w:val="0"/>
          <w:marRight w:val="0"/>
          <w:marTop w:val="0"/>
          <w:marBottom w:val="0"/>
          <w:divBdr>
            <w:top w:val="none" w:sz="0" w:space="0" w:color="auto"/>
            <w:left w:val="none" w:sz="0" w:space="0" w:color="auto"/>
            <w:bottom w:val="none" w:sz="0" w:space="0" w:color="auto"/>
            <w:right w:val="none" w:sz="0" w:space="0" w:color="auto"/>
          </w:divBdr>
        </w:div>
        <w:div w:id="456489935">
          <w:marLeft w:val="0"/>
          <w:marRight w:val="0"/>
          <w:marTop w:val="0"/>
          <w:marBottom w:val="0"/>
          <w:divBdr>
            <w:top w:val="none" w:sz="0" w:space="0" w:color="auto"/>
            <w:left w:val="none" w:sz="0" w:space="0" w:color="auto"/>
            <w:bottom w:val="none" w:sz="0" w:space="0" w:color="auto"/>
            <w:right w:val="none" w:sz="0" w:space="0" w:color="auto"/>
          </w:divBdr>
        </w:div>
        <w:div w:id="468323336">
          <w:marLeft w:val="0"/>
          <w:marRight w:val="0"/>
          <w:marTop w:val="0"/>
          <w:marBottom w:val="0"/>
          <w:divBdr>
            <w:top w:val="none" w:sz="0" w:space="0" w:color="auto"/>
            <w:left w:val="none" w:sz="0" w:space="0" w:color="auto"/>
            <w:bottom w:val="none" w:sz="0" w:space="0" w:color="auto"/>
            <w:right w:val="none" w:sz="0" w:space="0" w:color="auto"/>
          </w:divBdr>
        </w:div>
        <w:div w:id="494994308">
          <w:marLeft w:val="0"/>
          <w:marRight w:val="0"/>
          <w:marTop w:val="0"/>
          <w:marBottom w:val="0"/>
          <w:divBdr>
            <w:top w:val="none" w:sz="0" w:space="0" w:color="auto"/>
            <w:left w:val="none" w:sz="0" w:space="0" w:color="auto"/>
            <w:bottom w:val="none" w:sz="0" w:space="0" w:color="auto"/>
            <w:right w:val="none" w:sz="0" w:space="0" w:color="auto"/>
          </w:divBdr>
        </w:div>
        <w:div w:id="519053762">
          <w:marLeft w:val="0"/>
          <w:marRight w:val="0"/>
          <w:marTop w:val="0"/>
          <w:marBottom w:val="0"/>
          <w:divBdr>
            <w:top w:val="none" w:sz="0" w:space="0" w:color="auto"/>
            <w:left w:val="none" w:sz="0" w:space="0" w:color="auto"/>
            <w:bottom w:val="none" w:sz="0" w:space="0" w:color="auto"/>
            <w:right w:val="none" w:sz="0" w:space="0" w:color="auto"/>
          </w:divBdr>
          <w:divsChild>
            <w:div w:id="58795478">
              <w:marLeft w:val="-75"/>
              <w:marRight w:val="0"/>
              <w:marTop w:val="30"/>
              <w:marBottom w:val="30"/>
              <w:divBdr>
                <w:top w:val="none" w:sz="0" w:space="0" w:color="auto"/>
                <w:left w:val="none" w:sz="0" w:space="0" w:color="auto"/>
                <w:bottom w:val="none" w:sz="0" w:space="0" w:color="auto"/>
                <w:right w:val="none" w:sz="0" w:space="0" w:color="auto"/>
              </w:divBdr>
              <w:divsChild>
                <w:div w:id="303780993">
                  <w:marLeft w:val="0"/>
                  <w:marRight w:val="0"/>
                  <w:marTop w:val="0"/>
                  <w:marBottom w:val="0"/>
                  <w:divBdr>
                    <w:top w:val="none" w:sz="0" w:space="0" w:color="auto"/>
                    <w:left w:val="none" w:sz="0" w:space="0" w:color="auto"/>
                    <w:bottom w:val="none" w:sz="0" w:space="0" w:color="auto"/>
                    <w:right w:val="none" w:sz="0" w:space="0" w:color="auto"/>
                  </w:divBdr>
                  <w:divsChild>
                    <w:div w:id="803159965">
                      <w:marLeft w:val="0"/>
                      <w:marRight w:val="0"/>
                      <w:marTop w:val="0"/>
                      <w:marBottom w:val="0"/>
                      <w:divBdr>
                        <w:top w:val="none" w:sz="0" w:space="0" w:color="auto"/>
                        <w:left w:val="none" w:sz="0" w:space="0" w:color="auto"/>
                        <w:bottom w:val="none" w:sz="0" w:space="0" w:color="auto"/>
                        <w:right w:val="none" w:sz="0" w:space="0" w:color="auto"/>
                      </w:divBdr>
                    </w:div>
                  </w:divsChild>
                </w:div>
                <w:div w:id="688993917">
                  <w:marLeft w:val="0"/>
                  <w:marRight w:val="0"/>
                  <w:marTop w:val="0"/>
                  <w:marBottom w:val="0"/>
                  <w:divBdr>
                    <w:top w:val="none" w:sz="0" w:space="0" w:color="auto"/>
                    <w:left w:val="none" w:sz="0" w:space="0" w:color="auto"/>
                    <w:bottom w:val="none" w:sz="0" w:space="0" w:color="auto"/>
                    <w:right w:val="none" w:sz="0" w:space="0" w:color="auto"/>
                  </w:divBdr>
                  <w:divsChild>
                    <w:div w:id="364213033">
                      <w:marLeft w:val="0"/>
                      <w:marRight w:val="0"/>
                      <w:marTop w:val="0"/>
                      <w:marBottom w:val="0"/>
                      <w:divBdr>
                        <w:top w:val="none" w:sz="0" w:space="0" w:color="auto"/>
                        <w:left w:val="none" w:sz="0" w:space="0" w:color="auto"/>
                        <w:bottom w:val="none" w:sz="0" w:space="0" w:color="auto"/>
                        <w:right w:val="none" w:sz="0" w:space="0" w:color="auto"/>
                      </w:divBdr>
                    </w:div>
                  </w:divsChild>
                </w:div>
                <w:div w:id="844393289">
                  <w:marLeft w:val="0"/>
                  <w:marRight w:val="0"/>
                  <w:marTop w:val="0"/>
                  <w:marBottom w:val="0"/>
                  <w:divBdr>
                    <w:top w:val="none" w:sz="0" w:space="0" w:color="auto"/>
                    <w:left w:val="none" w:sz="0" w:space="0" w:color="auto"/>
                    <w:bottom w:val="none" w:sz="0" w:space="0" w:color="auto"/>
                    <w:right w:val="none" w:sz="0" w:space="0" w:color="auto"/>
                  </w:divBdr>
                  <w:divsChild>
                    <w:div w:id="121581456">
                      <w:marLeft w:val="0"/>
                      <w:marRight w:val="0"/>
                      <w:marTop w:val="0"/>
                      <w:marBottom w:val="0"/>
                      <w:divBdr>
                        <w:top w:val="none" w:sz="0" w:space="0" w:color="auto"/>
                        <w:left w:val="none" w:sz="0" w:space="0" w:color="auto"/>
                        <w:bottom w:val="none" w:sz="0" w:space="0" w:color="auto"/>
                        <w:right w:val="none" w:sz="0" w:space="0" w:color="auto"/>
                      </w:divBdr>
                    </w:div>
                  </w:divsChild>
                </w:div>
                <w:div w:id="1021974924">
                  <w:marLeft w:val="0"/>
                  <w:marRight w:val="0"/>
                  <w:marTop w:val="0"/>
                  <w:marBottom w:val="0"/>
                  <w:divBdr>
                    <w:top w:val="none" w:sz="0" w:space="0" w:color="auto"/>
                    <w:left w:val="none" w:sz="0" w:space="0" w:color="auto"/>
                    <w:bottom w:val="none" w:sz="0" w:space="0" w:color="auto"/>
                    <w:right w:val="none" w:sz="0" w:space="0" w:color="auto"/>
                  </w:divBdr>
                  <w:divsChild>
                    <w:div w:id="210265060">
                      <w:marLeft w:val="0"/>
                      <w:marRight w:val="0"/>
                      <w:marTop w:val="0"/>
                      <w:marBottom w:val="0"/>
                      <w:divBdr>
                        <w:top w:val="none" w:sz="0" w:space="0" w:color="auto"/>
                        <w:left w:val="none" w:sz="0" w:space="0" w:color="auto"/>
                        <w:bottom w:val="none" w:sz="0" w:space="0" w:color="auto"/>
                        <w:right w:val="none" w:sz="0" w:space="0" w:color="auto"/>
                      </w:divBdr>
                    </w:div>
                  </w:divsChild>
                </w:div>
                <w:div w:id="1255092072">
                  <w:marLeft w:val="0"/>
                  <w:marRight w:val="0"/>
                  <w:marTop w:val="0"/>
                  <w:marBottom w:val="0"/>
                  <w:divBdr>
                    <w:top w:val="none" w:sz="0" w:space="0" w:color="auto"/>
                    <w:left w:val="none" w:sz="0" w:space="0" w:color="auto"/>
                    <w:bottom w:val="none" w:sz="0" w:space="0" w:color="auto"/>
                    <w:right w:val="none" w:sz="0" w:space="0" w:color="auto"/>
                  </w:divBdr>
                  <w:divsChild>
                    <w:div w:id="660423176">
                      <w:marLeft w:val="0"/>
                      <w:marRight w:val="0"/>
                      <w:marTop w:val="0"/>
                      <w:marBottom w:val="0"/>
                      <w:divBdr>
                        <w:top w:val="none" w:sz="0" w:space="0" w:color="auto"/>
                        <w:left w:val="none" w:sz="0" w:space="0" w:color="auto"/>
                        <w:bottom w:val="none" w:sz="0" w:space="0" w:color="auto"/>
                        <w:right w:val="none" w:sz="0" w:space="0" w:color="auto"/>
                      </w:divBdr>
                    </w:div>
                  </w:divsChild>
                </w:div>
                <w:div w:id="1433092014">
                  <w:marLeft w:val="0"/>
                  <w:marRight w:val="0"/>
                  <w:marTop w:val="0"/>
                  <w:marBottom w:val="0"/>
                  <w:divBdr>
                    <w:top w:val="none" w:sz="0" w:space="0" w:color="auto"/>
                    <w:left w:val="none" w:sz="0" w:space="0" w:color="auto"/>
                    <w:bottom w:val="none" w:sz="0" w:space="0" w:color="auto"/>
                    <w:right w:val="none" w:sz="0" w:space="0" w:color="auto"/>
                  </w:divBdr>
                  <w:divsChild>
                    <w:div w:id="1643270595">
                      <w:marLeft w:val="0"/>
                      <w:marRight w:val="0"/>
                      <w:marTop w:val="0"/>
                      <w:marBottom w:val="0"/>
                      <w:divBdr>
                        <w:top w:val="none" w:sz="0" w:space="0" w:color="auto"/>
                        <w:left w:val="none" w:sz="0" w:space="0" w:color="auto"/>
                        <w:bottom w:val="none" w:sz="0" w:space="0" w:color="auto"/>
                        <w:right w:val="none" w:sz="0" w:space="0" w:color="auto"/>
                      </w:divBdr>
                    </w:div>
                  </w:divsChild>
                </w:div>
                <w:div w:id="1867214585">
                  <w:marLeft w:val="0"/>
                  <w:marRight w:val="0"/>
                  <w:marTop w:val="0"/>
                  <w:marBottom w:val="0"/>
                  <w:divBdr>
                    <w:top w:val="none" w:sz="0" w:space="0" w:color="auto"/>
                    <w:left w:val="none" w:sz="0" w:space="0" w:color="auto"/>
                    <w:bottom w:val="none" w:sz="0" w:space="0" w:color="auto"/>
                    <w:right w:val="none" w:sz="0" w:space="0" w:color="auto"/>
                  </w:divBdr>
                  <w:divsChild>
                    <w:div w:id="846793028">
                      <w:marLeft w:val="0"/>
                      <w:marRight w:val="0"/>
                      <w:marTop w:val="0"/>
                      <w:marBottom w:val="0"/>
                      <w:divBdr>
                        <w:top w:val="none" w:sz="0" w:space="0" w:color="auto"/>
                        <w:left w:val="none" w:sz="0" w:space="0" w:color="auto"/>
                        <w:bottom w:val="none" w:sz="0" w:space="0" w:color="auto"/>
                        <w:right w:val="none" w:sz="0" w:space="0" w:color="auto"/>
                      </w:divBdr>
                    </w:div>
                  </w:divsChild>
                </w:div>
                <w:div w:id="2015954385">
                  <w:marLeft w:val="0"/>
                  <w:marRight w:val="0"/>
                  <w:marTop w:val="0"/>
                  <w:marBottom w:val="0"/>
                  <w:divBdr>
                    <w:top w:val="none" w:sz="0" w:space="0" w:color="auto"/>
                    <w:left w:val="none" w:sz="0" w:space="0" w:color="auto"/>
                    <w:bottom w:val="none" w:sz="0" w:space="0" w:color="auto"/>
                    <w:right w:val="none" w:sz="0" w:space="0" w:color="auto"/>
                  </w:divBdr>
                  <w:divsChild>
                    <w:div w:id="210411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796262">
          <w:marLeft w:val="0"/>
          <w:marRight w:val="0"/>
          <w:marTop w:val="0"/>
          <w:marBottom w:val="0"/>
          <w:divBdr>
            <w:top w:val="none" w:sz="0" w:space="0" w:color="auto"/>
            <w:left w:val="none" w:sz="0" w:space="0" w:color="auto"/>
            <w:bottom w:val="none" w:sz="0" w:space="0" w:color="auto"/>
            <w:right w:val="none" w:sz="0" w:space="0" w:color="auto"/>
          </w:divBdr>
        </w:div>
        <w:div w:id="556939080">
          <w:marLeft w:val="0"/>
          <w:marRight w:val="0"/>
          <w:marTop w:val="0"/>
          <w:marBottom w:val="0"/>
          <w:divBdr>
            <w:top w:val="none" w:sz="0" w:space="0" w:color="auto"/>
            <w:left w:val="none" w:sz="0" w:space="0" w:color="auto"/>
            <w:bottom w:val="none" w:sz="0" w:space="0" w:color="auto"/>
            <w:right w:val="none" w:sz="0" w:space="0" w:color="auto"/>
          </w:divBdr>
        </w:div>
        <w:div w:id="573395629">
          <w:marLeft w:val="0"/>
          <w:marRight w:val="0"/>
          <w:marTop w:val="0"/>
          <w:marBottom w:val="0"/>
          <w:divBdr>
            <w:top w:val="none" w:sz="0" w:space="0" w:color="auto"/>
            <w:left w:val="none" w:sz="0" w:space="0" w:color="auto"/>
            <w:bottom w:val="none" w:sz="0" w:space="0" w:color="auto"/>
            <w:right w:val="none" w:sz="0" w:space="0" w:color="auto"/>
          </w:divBdr>
        </w:div>
        <w:div w:id="601692610">
          <w:marLeft w:val="0"/>
          <w:marRight w:val="0"/>
          <w:marTop w:val="0"/>
          <w:marBottom w:val="0"/>
          <w:divBdr>
            <w:top w:val="none" w:sz="0" w:space="0" w:color="auto"/>
            <w:left w:val="none" w:sz="0" w:space="0" w:color="auto"/>
            <w:bottom w:val="none" w:sz="0" w:space="0" w:color="auto"/>
            <w:right w:val="none" w:sz="0" w:space="0" w:color="auto"/>
          </w:divBdr>
        </w:div>
        <w:div w:id="605046278">
          <w:marLeft w:val="0"/>
          <w:marRight w:val="0"/>
          <w:marTop w:val="0"/>
          <w:marBottom w:val="0"/>
          <w:divBdr>
            <w:top w:val="none" w:sz="0" w:space="0" w:color="auto"/>
            <w:left w:val="none" w:sz="0" w:space="0" w:color="auto"/>
            <w:bottom w:val="none" w:sz="0" w:space="0" w:color="auto"/>
            <w:right w:val="none" w:sz="0" w:space="0" w:color="auto"/>
          </w:divBdr>
        </w:div>
        <w:div w:id="608587473">
          <w:marLeft w:val="0"/>
          <w:marRight w:val="0"/>
          <w:marTop w:val="0"/>
          <w:marBottom w:val="0"/>
          <w:divBdr>
            <w:top w:val="none" w:sz="0" w:space="0" w:color="auto"/>
            <w:left w:val="none" w:sz="0" w:space="0" w:color="auto"/>
            <w:bottom w:val="none" w:sz="0" w:space="0" w:color="auto"/>
            <w:right w:val="none" w:sz="0" w:space="0" w:color="auto"/>
          </w:divBdr>
        </w:div>
        <w:div w:id="613364028">
          <w:marLeft w:val="0"/>
          <w:marRight w:val="0"/>
          <w:marTop w:val="0"/>
          <w:marBottom w:val="0"/>
          <w:divBdr>
            <w:top w:val="none" w:sz="0" w:space="0" w:color="auto"/>
            <w:left w:val="none" w:sz="0" w:space="0" w:color="auto"/>
            <w:bottom w:val="none" w:sz="0" w:space="0" w:color="auto"/>
            <w:right w:val="none" w:sz="0" w:space="0" w:color="auto"/>
          </w:divBdr>
        </w:div>
        <w:div w:id="613707356">
          <w:marLeft w:val="0"/>
          <w:marRight w:val="0"/>
          <w:marTop w:val="0"/>
          <w:marBottom w:val="0"/>
          <w:divBdr>
            <w:top w:val="none" w:sz="0" w:space="0" w:color="auto"/>
            <w:left w:val="none" w:sz="0" w:space="0" w:color="auto"/>
            <w:bottom w:val="none" w:sz="0" w:space="0" w:color="auto"/>
            <w:right w:val="none" w:sz="0" w:space="0" w:color="auto"/>
          </w:divBdr>
        </w:div>
        <w:div w:id="619186006">
          <w:marLeft w:val="0"/>
          <w:marRight w:val="0"/>
          <w:marTop w:val="0"/>
          <w:marBottom w:val="0"/>
          <w:divBdr>
            <w:top w:val="none" w:sz="0" w:space="0" w:color="auto"/>
            <w:left w:val="none" w:sz="0" w:space="0" w:color="auto"/>
            <w:bottom w:val="none" w:sz="0" w:space="0" w:color="auto"/>
            <w:right w:val="none" w:sz="0" w:space="0" w:color="auto"/>
          </w:divBdr>
        </w:div>
        <w:div w:id="674456701">
          <w:marLeft w:val="0"/>
          <w:marRight w:val="0"/>
          <w:marTop w:val="0"/>
          <w:marBottom w:val="0"/>
          <w:divBdr>
            <w:top w:val="none" w:sz="0" w:space="0" w:color="auto"/>
            <w:left w:val="none" w:sz="0" w:space="0" w:color="auto"/>
            <w:bottom w:val="none" w:sz="0" w:space="0" w:color="auto"/>
            <w:right w:val="none" w:sz="0" w:space="0" w:color="auto"/>
          </w:divBdr>
        </w:div>
        <w:div w:id="733938894">
          <w:marLeft w:val="0"/>
          <w:marRight w:val="0"/>
          <w:marTop w:val="0"/>
          <w:marBottom w:val="0"/>
          <w:divBdr>
            <w:top w:val="none" w:sz="0" w:space="0" w:color="auto"/>
            <w:left w:val="none" w:sz="0" w:space="0" w:color="auto"/>
            <w:bottom w:val="none" w:sz="0" w:space="0" w:color="auto"/>
            <w:right w:val="none" w:sz="0" w:space="0" w:color="auto"/>
          </w:divBdr>
        </w:div>
        <w:div w:id="772743580">
          <w:marLeft w:val="0"/>
          <w:marRight w:val="0"/>
          <w:marTop w:val="0"/>
          <w:marBottom w:val="0"/>
          <w:divBdr>
            <w:top w:val="none" w:sz="0" w:space="0" w:color="auto"/>
            <w:left w:val="none" w:sz="0" w:space="0" w:color="auto"/>
            <w:bottom w:val="none" w:sz="0" w:space="0" w:color="auto"/>
            <w:right w:val="none" w:sz="0" w:space="0" w:color="auto"/>
          </w:divBdr>
        </w:div>
        <w:div w:id="793258936">
          <w:marLeft w:val="0"/>
          <w:marRight w:val="0"/>
          <w:marTop w:val="0"/>
          <w:marBottom w:val="0"/>
          <w:divBdr>
            <w:top w:val="none" w:sz="0" w:space="0" w:color="auto"/>
            <w:left w:val="none" w:sz="0" w:space="0" w:color="auto"/>
            <w:bottom w:val="none" w:sz="0" w:space="0" w:color="auto"/>
            <w:right w:val="none" w:sz="0" w:space="0" w:color="auto"/>
          </w:divBdr>
        </w:div>
        <w:div w:id="803935348">
          <w:marLeft w:val="0"/>
          <w:marRight w:val="0"/>
          <w:marTop w:val="0"/>
          <w:marBottom w:val="0"/>
          <w:divBdr>
            <w:top w:val="none" w:sz="0" w:space="0" w:color="auto"/>
            <w:left w:val="none" w:sz="0" w:space="0" w:color="auto"/>
            <w:bottom w:val="none" w:sz="0" w:space="0" w:color="auto"/>
            <w:right w:val="none" w:sz="0" w:space="0" w:color="auto"/>
          </w:divBdr>
        </w:div>
        <w:div w:id="804741731">
          <w:marLeft w:val="0"/>
          <w:marRight w:val="0"/>
          <w:marTop w:val="0"/>
          <w:marBottom w:val="0"/>
          <w:divBdr>
            <w:top w:val="none" w:sz="0" w:space="0" w:color="auto"/>
            <w:left w:val="none" w:sz="0" w:space="0" w:color="auto"/>
            <w:bottom w:val="none" w:sz="0" w:space="0" w:color="auto"/>
            <w:right w:val="none" w:sz="0" w:space="0" w:color="auto"/>
          </w:divBdr>
        </w:div>
        <w:div w:id="812064924">
          <w:marLeft w:val="0"/>
          <w:marRight w:val="0"/>
          <w:marTop w:val="0"/>
          <w:marBottom w:val="0"/>
          <w:divBdr>
            <w:top w:val="none" w:sz="0" w:space="0" w:color="auto"/>
            <w:left w:val="none" w:sz="0" w:space="0" w:color="auto"/>
            <w:bottom w:val="none" w:sz="0" w:space="0" w:color="auto"/>
            <w:right w:val="none" w:sz="0" w:space="0" w:color="auto"/>
          </w:divBdr>
        </w:div>
        <w:div w:id="819469441">
          <w:marLeft w:val="0"/>
          <w:marRight w:val="0"/>
          <w:marTop w:val="0"/>
          <w:marBottom w:val="0"/>
          <w:divBdr>
            <w:top w:val="none" w:sz="0" w:space="0" w:color="auto"/>
            <w:left w:val="none" w:sz="0" w:space="0" w:color="auto"/>
            <w:bottom w:val="none" w:sz="0" w:space="0" w:color="auto"/>
            <w:right w:val="none" w:sz="0" w:space="0" w:color="auto"/>
          </w:divBdr>
        </w:div>
        <w:div w:id="824667377">
          <w:marLeft w:val="0"/>
          <w:marRight w:val="0"/>
          <w:marTop w:val="0"/>
          <w:marBottom w:val="0"/>
          <w:divBdr>
            <w:top w:val="none" w:sz="0" w:space="0" w:color="auto"/>
            <w:left w:val="none" w:sz="0" w:space="0" w:color="auto"/>
            <w:bottom w:val="none" w:sz="0" w:space="0" w:color="auto"/>
            <w:right w:val="none" w:sz="0" w:space="0" w:color="auto"/>
          </w:divBdr>
        </w:div>
        <w:div w:id="912004027">
          <w:marLeft w:val="0"/>
          <w:marRight w:val="0"/>
          <w:marTop w:val="0"/>
          <w:marBottom w:val="0"/>
          <w:divBdr>
            <w:top w:val="none" w:sz="0" w:space="0" w:color="auto"/>
            <w:left w:val="none" w:sz="0" w:space="0" w:color="auto"/>
            <w:bottom w:val="none" w:sz="0" w:space="0" w:color="auto"/>
            <w:right w:val="none" w:sz="0" w:space="0" w:color="auto"/>
          </w:divBdr>
        </w:div>
        <w:div w:id="962082669">
          <w:marLeft w:val="0"/>
          <w:marRight w:val="0"/>
          <w:marTop w:val="0"/>
          <w:marBottom w:val="0"/>
          <w:divBdr>
            <w:top w:val="none" w:sz="0" w:space="0" w:color="auto"/>
            <w:left w:val="none" w:sz="0" w:space="0" w:color="auto"/>
            <w:bottom w:val="none" w:sz="0" w:space="0" w:color="auto"/>
            <w:right w:val="none" w:sz="0" w:space="0" w:color="auto"/>
          </w:divBdr>
        </w:div>
        <w:div w:id="964043845">
          <w:marLeft w:val="0"/>
          <w:marRight w:val="0"/>
          <w:marTop w:val="0"/>
          <w:marBottom w:val="0"/>
          <w:divBdr>
            <w:top w:val="none" w:sz="0" w:space="0" w:color="auto"/>
            <w:left w:val="none" w:sz="0" w:space="0" w:color="auto"/>
            <w:bottom w:val="none" w:sz="0" w:space="0" w:color="auto"/>
            <w:right w:val="none" w:sz="0" w:space="0" w:color="auto"/>
          </w:divBdr>
        </w:div>
        <w:div w:id="977149996">
          <w:marLeft w:val="0"/>
          <w:marRight w:val="0"/>
          <w:marTop w:val="0"/>
          <w:marBottom w:val="0"/>
          <w:divBdr>
            <w:top w:val="none" w:sz="0" w:space="0" w:color="auto"/>
            <w:left w:val="none" w:sz="0" w:space="0" w:color="auto"/>
            <w:bottom w:val="none" w:sz="0" w:space="0" w:color="auto"/>
            <w:right w:val="none" w:sz="0" w:space="0" w:color="auto"/>
          </w:divBdr>
        </w:div>
        <w:div w:id="992878490">
          <w:marLeft w:val="0"/>
          <w:marRight w:val="0"/>
          <w:marTop w:val="0"/>
          <w:marBottom w:val="0"/>
          <w:divBdr>
            <w:top w:val="none" w:sz="0" w:space="0" w:color="auto"/>
            <w:left w:val="none" w:sz="0" w:space="0" w:color="auto"/>
            <w:bottom w:val="none" w:sz="0" w:space="0" w:color="auto"/>
            <w:right w:val="none" w:sz="0" w:space="0" w:color="auto"/>
          </w:divBdr>
        </w:div>
        <w:div w:id="1043755288">
          <w:marLeft w:val="0"/>
          <w:marRight w:val="0"/>
          <w:marTop w:val="0"/>
          <w:marBottom w:val="0"/>
          <w:divBdr>
            <w:top w:val="none" w:sz="0" w:space="0" w:color="auto"/>
            <w:left w:val="none" w:sz="0" w:space="0" w:color="auto"/>
            <w:bottom w:val="none" w:sz="0" w:space="0" w:color="auto"/>
            <w:right w:val="none" w:sz="0" w:space="0" w:color="auto"/>
          </w:divBdr>
        </w:div>
        <w:div w:id="1048183427">
          <w:marLeft w:val="0"/>
          <w:marRight w:val="0"/>
          <w:marTop w:val="0"/>
          <w:marBottom w:val="0"/>
          <w:divBdr>
            <w:top w:val="none" w:sz="0" w:space="0" w:color="auto"/>
            <w:left w:val="none" w:sz="0" w:space="0" w:color="auto"/>
            <w:bottom w:val="none" w:sz="0" w:space="0" w:color="auto"/>
            <w:right w:val="none" w:sz="0" w:space="0" w:color="auto"/>
          </w:divBdr>
        </w:div>
        <w:div w:id="1097865920">
          <w:marLeft w:val="0"/>
          <w:marRight w:val="0"/>
          <w:marTop w:val="0"/>
          <w:marBottom w:val="0"/>
          <w:divBdr>
            <w:top w:val="none" w:sz="0" w:space="0" w:color="auto"/>
            <w:left w:val="none" w:sz="0" w:space="0" w:color="auto"/>
            <w:bottom w:val="none" w:sz="0" w:space="0" w:color="auto"/>
            <w:right w:val="none" w:sz="0" w:space="0" w:color="auto"/>
          </w:divBdr>
        </w:div>
        <w:div w:id="1106272328">
          <w:marLeft w:val="0"/>
          <w:marRight w:val="0"/>
          <w:marTop w:val="0"/>
          <w:marBottom w:val="0"/>
          <w:divBdr>
            <w:top w:val="none" w:sz="0" w:space="0" w:color="auto"/>
            <w:left w:val="none" w:sz="0" w:space="0" w:color="auto"/>
            <w:bottom w:val="none" w:sz="0" w:space="0" w:color="auto"/>
            <w:right w:val="none" w:sz="0" w:space="0" w:color="auto"/>
          </w:divBdr>
        </w:div>
        <w:div w:id="1151827343">
          <w:marLeft w:val="0"/>
          <w:marRight w:val="0"/>
          <w:marTop w:val="0"/>
          <w:marBottom w:val="0"/>
          <w:divBdr>
            <w:top w:val="none" w:sz="0" w:space="0" w:color="auto"/>
            <w:left w:val="none" w:sz="0" w:space="0" w:color="auto"/>
            <w:bottom w:val="none" w:sz="0" w:space="0" w:color="auto"/>
            <w:right w:val="none" w:sz="0" w:space="0" w:color="auto"/>
          </w:divBdr>
        </w:div>
        <w:div w:id="1165901569">
          <w:marLeft w:val="0"/>
          <w:marRight w:val="0"/>
          <w:marTop w:val="0"/>
          <w:marBottom w:val="0"/>
          <w:divBdr>
            <w:top w:val="none" w:sz="0" w:space="0" w:color="auto"/>
            <w:left w:val="none" w:sz="0" w:space="0" w:color="auto"/>
            <w:bottom w:val="none" w:sz="0" w:space="0" w:color="auto"/>
            <w:right w:val="none" w:sz="0" w:space="0" w:color="auto"/>
          </w:divBdr>
        </w:div>
        <w:div w:id="1169100969">
          <w:marLeft w:val="0"/>
          <w:marRight w:val="0"/>
          <w:marTop w:val="0"/>
          <w:marBottom w:val="0"/>
          <w:divBdr>
            <w:top w:val="none" w:sz="0" w:space="0" w:color="auto"/>
            <w:left w:val="none" w:sz="0" w:space="0" w:color="auto"/>
            <w:bottom w:val="none" w:sz="0" w:space="0" w:color="auto"/>
            <w:right w:val="none" w:sz="0" w:space="0" w:color="auto"/>
          </w:divBdr>
        </w:div>
        <w:div w:id="1171525507">
          <w:marLeft w:val="0"/>
          <w:marRight w:val="0"/>
          <w:marTop w:val="0"/>
          <w:marBottom w:val="0"/>
          <w:divBdr>
            <w:top w:val="none" w:sz="0" w:space="0" w:color="auto"/>
            <w:left w:val="none" w:sz="0" w:space="0" w:color="auto"/>
            <w:bottom w:val="none" w:sz="0" w:space="0" w:color="auto"/>
            <w:right w:val="none" w:sz="0" w:space="0" w:color="auto"/>
          </w:divBdr>
        </w:div>
        <w:div w:id="1196115295">
          <w:marLeft w:val="0"/>
          <w:marRight w:val="0"/>
          <w:marTop w:val="0"/>
          <w:marBottom w:val="0"/>
          <w:divBdr>
            <w:top w:val="none" w:sz="0" w:space="0" w:color="auto"/>
            <w:left w:val="none" w:sz="0" w:space="0" w:color="auto"/>
            <w:bottom w:val="none" w:sz="0" w:space="0" w:color="auto"/>
            <w:right w:val="none" w:sz="0" w:space="0" w:color="auto"/>
          </w:divBdr>
        </w:div>
        <w:div w:id="1220899409">
          <w:marLeft w:val="0"/>
          <w:marRight w:val="0"/>
          <w:marTop w:val="0"/>
          <w:marBottom w:val="0"/>
          <w:divBdr>
            <w:top w:val="none" w:sz="0" w:space="0" w:color="auto"/>
            <w:left w:val="none" w:sz="0" w:space="0" w:color="auto"/>
            <w:bottom w:val="none" w:sz="0" w:space="0" w:color="auto"/>
            <w:right w:val="none" w:sz="0" w:space="0" w:color="auto"/>
          </w:divBdr>
        </w:div>
        <w:div w:id="1228808056">
          <w:marLeft w:val="0"/>
          <w:marRight w:val="0"/>
          <w:marTop w:val="0"/>
          <w:marBottom w:val="0"/>
          <w:divBdr>
            <w:top w:val="none" w:sz="0" w:space="0" w:color="auto"/>
            <w:left w:val="none" w:sz="0" w:space="0" w:color="auto"/>
            <w:bottom w:val="none" w:sz="0" w:space="0" w:color="auto"/>
            <w:right w:val="none" w:sz="0" w:space="0" w:color="auto"/>
          </w:divBdr>
        </w:div>
        <w:div w:id="1251085542">
          <w:marLeft w:val="0"/>
          <w:marRight w:val="0"/>
          <w:marTop w:val="0"/>
          <w:marBottom w:val="0"/>
          <w:divBdr>
            <w:top w:val="none" w:sz="0" w:space="0" w:color="auto"/>
            <w:left w:val="none" w:sz="0" w:space="0" w:color="auto"/>
            <w:bottom w:val="none" w:sz="0" w:space="0" w:color="auto"/>
            <w:right w:val="none" w:sz="0" w:space="0" w:color="auto"/>
          </w:divBdr>
        </w:div>
        <w:div w:id="1255363537">
          <w:marLeft w:val="0"/>
          <w:marRight w:val="0"/>
          <w:marTop w:val="0"/>
          <w:marBottom w:val="0"/>
          <w:divBdr>
            <w:top w:val="none" w:sz="0" w:space="0" w:color="auto"/>
            <w:left w:val="none" w:sz="0" w:space="0" w:color="auto"/>
            <w:bottom w:val="none" w:sz="0" w:space="0" w:color="auto"/>
            <w:right w:val="none" w:sz="0" w:space="0" w:color="auto"/>
          </w:divBdr>
        </w:div>
        <w:div w:id="1270115390">
          <w:marLeft w:val="0"/>
          <w:marRight w:val="0"/>
          <w:marTop w:val="0"/>
          <w:marBottom w:val="0"/>
          <w:divBdr>
            <w:top w:val="none" w:sz="0" w:space="0" w:color="auto"/>
            <w:left w:val="none" w:sz="0" w:space="0" w:color="auto"/>
            <w:bottom w:val="none" w:sz="0" w:space="0" w:color="auto"/>
            <w:right w:val="none" w:sz="0" w:space="0" w:color="auto"/>
          </w:divBdr>
        </w:div>
        <w:div w:id="1277298592">
          <w:marLeft w:val="0"/>
          <w:marRight w:val="0"/>
          <w:marTop w:val="0"/>
          <w:marBottom w:val="0"/>
          <w:divBdr>
            <w:top w:val="none" w:sz="0" w:space="0" w:color="auto"/>
            <w:left w:val="none" w:sz="0" w:space="0" w:color="auto"/>
            <w:bottom w:val="none" w:sz="0" w:space="0" w:color="auto"/>
            <w:right w:val="none" w:sz="0" w:space="0" w:color="auto"/>
          </w:divBdr>
        </w:div>
        <w:div w:id="1293898376">
          <w:marLeft w:val="0"/>
          <w:marRight w:val="0"/>
          <w:marTop w:val="0"/>
          <w:marBottom w:val="0"/>
          <w:divBdr>
            <w:top w:val="none" w:sz="0" w:space="0" w:color="auto"/>
            <w:left w:val="none" w:sz="0" w:space="0" w:color="auto"/>
            <w:bottom w:val="none" w:sz="0" w:space="0" w:color="auto"/>
            <w:right w:val="none" w:sz="0" w:space="0" w:color="auto"/>
          </w:divBdr>
        </w:div>
        <w:div w:id="1350138941">
          <w:marLeft w:val="0"/>
          <w:marRight w:val="0"/>
          <w:marTop w:val="0"/>
          <w:marBottom w:val="0"/>
          <w:divBdr>
            <w:top w:val="none" w:sz="0" w:space="0" w:color="auto"/>
            <w:left w:val="none" w:sz="0" w:space="0" w:color="auto"/>
            <w:bottom w:val="none" w:sz="0" w:space="0" w:color="auto"/>
            <w:right w:val="none" w:sz="0" w:space="0" w:color="auto"/>
          </w:divBdr>
        </w:div>
        <w:div w:id="1351957842">
          <w:marLeft w:val="0"/>
          <w:marRight w:val="0"/>
          <w:marTop w:val="0"/>
          <w:marBottom w:val="0"/>
          <w:divBdr>
            <w:top w:val="none" w:sz="0" w:space="0" w:color="auto"/>
            <w:left w:val="none" w:sz="0" w:space="0" w:color="auto"/>
            <w:bottom w:val="none" w:sz="0" w:space="0" w:color="auto"/>
            <w:right w:val="none" w:sz="0" w:space="0" w:color="auto"/>
          </w:divBdr>
        </w:div>
        <w:div w:id="1380013395">
          <w:marLeft w:val="0"/>
          <w:marRight w:val="0"/>
          <w:marTop w:val="0"/>
          <w:marBottom w:val="0"/>
          <w:divBdr>
            <w:top w:val="none" w:sz="0" w:space="0" w:color="auto"/>
            <w:left w:val="none" w:sz="0" w:space="0" w:color="auto"/>
            <w:bottom w:val="none" w:sz="0" w:space="0" w:color="auto"/>
            <w:right w:val="none" w:sz="0" w:space="0" w:color="auto"/>
          </w:divBdr>
        </w:div>
        <w:div w:id="1388650929">
          <w:marLeft w:val="0"/>
          <w:marRight w:val="0"/>
          <w:marTop w:val="0"/>
          <w:marBottom w:val="0"/>
          <w:divBdr>
            <w:top w:val="none" w:sz="0" w:space="0" w:color="auto"/>
            <w:left w:val="none" w:sz="0" w:space="0" w:color="auto"/>
            <w:bottom w:val="none" w:sz="0" w:space="0" w:color="auto"/>
            <w:right w:val="none" w:sz="0" w:space="0" w:color="auto"/>
          </w:divBdr>
        </w:div>
        <w:div w:id="1397581679">
          <w:marLeft w:val="0"/>
          <w:marRight w:val="0"/>
          <w:marTop w:val="0"/>
          <w:marBottom w:val="0"/>
          <w:divBdr>
            <w:top w:val="none" w:sz="0" w:space="0" w:color="auto"/>
            <w:left w:val="none" w:sz="0" w:space="0" w:color="auto"/>
            <w:bottom w:val="none" w:sz="0" w:space="0" w:color="auto"/>
            <w:right w:val="none" w:sz="0" w:space="0" w:color="auto"/>
          </w:divBdr>
        </w:div>
        <w:div w:id="1423408194">
          <w:marLeft w:val="0"/>
          <w:marRight w:val="0"/>
          <w:marTop w:val="0"/>
          <w:marBottom w:val="0"/>
          <w:divBdr>
            <w:top w:val="none" w:sz="0" w:space="0" w:color="auto"/>
            <w:left w:val="none" w:sz="0" w:space="0" w:color="auto"/>
            <w:bottom w:val="none" w:sz="0" w:space="0" w:color="auto"/>
            <w:right w:val="none" w:sz="0" w:space="0" w:color="auto"/>
          </w:divBdr>
        </w:div>
        <w:div w:id="1458910529">
          <w:marLeft w:val="0"/>
          <w:marRight w:val="0"/>
          <w:marTop w:val="0"/>
          <w:marBottom w:val="0"/>
          <w:divBdr>
            <w:top w:val="none" w:sz="0" w:space="0" w:color="auto"/>
            <w:left w:val="none" w:sz="0" w:space="0" w:color="auto"/>
            <w:bottom w:val="none" w:sz="0" w:space="0" w:color="auto"/>
            <w:right w:val="none" w:sz="0" w:space="0" w:color="auto"/>
          </w:divBdr>
        </w:div>
        <w:div w:id="1475414561">
          <w:marLeft w:val="0"/>
          <w:marRight w:val="0"/>
          <w:marTop w:val="0"/>
          <w:marBottom w:val="0"/>
          <w:divBdr>
            <w:top w:val="none" w:sz="0" w:space="0" w:color="auto"/>
            <w:left w:val="none" w:sz="0" w:space="0" w:color="auto"/>
            <w:bottom w:val="none" w:sz="0" w:space="0" w:color="auto"/>
            <w:right w:val="none" w:sz="0" w:space="0" w:color="auto"/>
          </w:divBdr>
        </w:div>
        <w:div w:id="1495952466">
          <w:marLeft w:val="0"/>
          <w:marRight w:val="0"/>
          <w:marTop w:val="0"/>
          <w:marBottom w:val="0"/>
          <w:divBdr>
            <w:top w:val="none" w:sz="0" w:space="0" w:color="auto"/>
            <w:left w:val="none" w:sz="0" w:space="0" w:color="auto"/>
            <w:bottom w:val="none" w:sz="0" w:space="0" w:color="auto"/>
            <w:right w:val="none" w:sz="0" w:space="0" w:color="auto"/>
          </w:divBdr>
        </w:div>
        <w:div w:id="1498308345">
          <w:marLeft w:val="0"/>
          <w:marRight w:val="0"/>
          <w:marTop w:val="0"/>
          <w:marBottom w:val="0"/>
          <w:divBdr>
            <w:top w:val="none" w:sz="0" w:space="0" w:color="auto"/>
            <w:left w:val="none" w:sz="0" w:space="0" w:color="auto"/>
            <w:bottom w:val="none" w:sz="0" w:space="0" w:color="auto"/>
            <w:right w:val="none" w:sz="0" w:space="0" w:color="auto"/>
          </w:divBdr>
        </w:div>
        <w:div w:id="1546525410">
          <w:marLeft w:val="0"/>
          <w:marRight w:val="0"/>
          <w:marTop w:val="0"/>
          <w:marBottom w:val="0"/>
          <w:divBdr>
            <w:top w:val="none" w:sz="0" w:space="0" w:color="auto"/>
            <w:left w:val="none" w:sz="0" w:space="0" w:color="auto"/>
            <w:bottom w:val="none" w:sz="0" w:space="0" w:color="auto"/>
            <w:right w:val="none" w:sz="0" w:space="0" w:color="auto"/>
          </w:divBdr>
        </w:div>
        <w:div w:id="1553073561">
          <w:marLeft w:val="0"/>
          <w:marRight w:val="0"/>
          <w:marTop w:val="0"/>
          <w:marBottom w:val="0"/>
          <w:divBdr>
            <w:top w:val="none" w:sz="0" w:space="0" w:color="auto"/>
            <w:left w:val="none" w:sz="0" w:space="0" w:color="auto"/>
            <w:bottom w:val="none" w:sz="0" w:space="0" w:color="auto"/>
            <w:right w:val="none" w:sz="0" w:space="0" w:color="auto"/>
          </w:divBdr>
        </w:div>
        <w:div w:id="1558012713">
          <w:marLeft w:val="0"/>
          <w:marRight w:val="0"/>
          <w:marTop w:val="0"/>
          <w:marBottom w:val="0"/>
          <w:divBdr>
            <w:top w:val="none" w:sz="0" w:space="0" w:color="auto"/>
            <w:left w:val="none" w:sz="0" w:space="0" w:color="auto"/>
            <w:bottom w:val="none" w:sz="0" w:space="0" w:color="auto"/>
            <w:right w:val="none" w:sz="0" w:space="0" w:color="auto"/>
          </w:divBdr>
        </w:div>
        <w:div w:id="1561600479">
          <w:marLeft w:val="0"/>
          <w:marRight w:val="0"/>
          <w:marTop w:val="0"/>
          <w:marBottom w:val="0"/>
          <w:divBdr>
            <w:top w:val="none" w:sz="0" w:space="0" w:color="auto"/>
            <w:left w:val="none" w:sz="0" w:space="0" w:color="auto"/>
            <w:bottom w:val="none" w:sz="0" w:space="0" w:color="auto"/>
            <w:right w:val="none" w:sz="0" w:space="0" w:color="auto"/>
          </w:divBdr>
        </w:div>
        <w:div w:id="1564835145">
          <w:marLeft w:val="0"/>
          <w:marRight w:val="0"/>
          <w:marTop w:val="0"/>
          <w:marBottom w:val="0"/>
          <w:divBdr>
            <w:top w:val="none" w:sz="0" w:space="0" w:color="auto"/>
            <w:left w:val="none" w:sz="0" w:space="0" w:color="auto"/>
            <w:bottom w:val="none" w:sz="0" w:space="0" w:color="auto"/>
            <w:right w:val="none" w:sz="0" w:space="0" w:color="auto"/>
          </w:divBdr>
        </w:div>
        <w:div w:id="1596551106">
          <w:marLeft w:val="0"/>
          <w:marRight w:val="0"/>
          <w:marTop w:val="0"/>
          <w:marBottom w:val="0"/>
          <w:divBdr>
            <w:top w:val="none" w:sz="0" w:space="0" w:color="auto"/>
            <w:left w:val="none" w:sz="0" w:space="0" w:color="auto"/>
            <w:bottom w:val="none" w:sz="0" w:space="0" w:color="auto"/>
            <w:right w:val="none" w:sz="0" w:space="0" w:color="auto"/>
          </w:divBdr>
        </w:div>
        <w:div w:id="1619873649">
          <w:marLeft w:val="0"/>
          <w:marRight w:val="0"/>
          <w:marTop w:val="0"/>
          <w:marBottom w:val="0"/>
          <w:divBdr>
            <w:top w:val="none" w:sz="0" w:space="0" w:color="auto"/>
            <w:left w:val="none" w:sz="0" w:space="0" w:color="auto"/>
            <w:bottom w:val="none" w:sz="0" w:space="0" w:color="auto"/>
            <w:right w:val="none" w:sz="0" w:space="0" w:color="auto"/>
          </w:divBdr>
        </w:div>
        <w:div w:id="1639187619">
          <w:marLeft w:val="0"/>
          <w:marRight w:val="0"/>
          <w:marTop w:val="0"/>
          <w:marBottom w:val="0"/>
          <w:divBdr>
            <w:top w:val="none" w:sz="0" w:space="0" w:color="auto"/>
            <w:left w:val="none" w:sz="0" w:space="0" w:color="auto"/>
            <w:bottom w:val="none" w:sz="0" w:space="0" w:color="auto"/>
            <w:right w:val="none" w:sz="0" w:space="0" w:color="auto"/>
          </w:divBdr>
        </w:div>
        <w:div w:id="1678725832">
          <w:marLeft w:val="0"/>
          <w:marRight w:val="0"/>
          <w:marTop w:val="0"/>
          <w:marBottom w:val="0"/>
          <w:divBdr>
            <w:top w:val="none" w:sz="0" w:space="0" w:color="auto"/>
            <w:left w:val="none" w:sz="0" w:space="0" w:color="auto"/>
            <w:bottom w:val="none" w:sz="0" w:space="0" w:color="auto"/>
            <w:right w:val="none" w:sz="0" w:space="0" w:color="auto"/>
          </w:divBdr>
        </w:div>
        <w:div w:id="1730420160">
          <w:marLeft w:val="0"/>
          <w:marRight w:val="0"/>
          <w:marTop w:val="0"/>
          <w:marBottom w:val="0"/>
          <w:divBdr>
            <w:top w:val="none" w:sz="0" w:space="0" w:color="auto"/>
            <w:left w:val="none" w:sz="0" w:space="0" w:color="auto"/>
            <w:bottom w:val="none" w:sz="0" w:space="0" w:color="auto"/>
            <w:right w:val="none" w:sz="0" w:space="0" w:color="auto"/>
          </w:divBdr>
        </w:div>
        <w:div w:id="1749616621">
          <w:marLeft w:val="0"/>
          <w:marRight w:val="0"/>
          <w:marTop w:val="0"/>
          <w:marBottom w:val="0"/>
          <w:divBdr>
            <w:top w:val="none" w:sz="0" w:space="0" w:color="auto"/>
            <w:left w:val="none" w:sz="0" w:space="0" w:color="auto"/>
            <w:bottom w:val="none" w:sz="0" w:space="0" w:color="auto"/>
            <w:right w:val="none" w:sz="0" w:space="0" w:color="auto"/>
          </w:divBdr>
        </w:div>
        <w:div w:id="1777867087">
          <w:marLeft w:val="0"/>
          <w:marRight w:val="0"/>
          <w:marTop w:val="0"/>
          <w:marBottom w:val="0"/>
          <w:divBdr>
            <w:top w:val="none" w:sz="0" w:space="0" w:color="auto"/>
            <w:left w:val="none" w:sz="0" w:space="0" w:color="auto"/>
            <w:bottom w:val="none" w:sz="0" w:space="0" w:color="auto"/>
            <w:right w:val="none" w:sz="0" w:space="0" w:color="auto"/>
          </w:divBdr>
        </w:div>
        <w:div w:id="1785616559">
          <w:marLeft w:val="0"/>
          <w:marRight w:val="0"/>
          <w:marTop w:val="0"/>
          <w:marBottom w:val="0"/>
          <w:divBdr>
            <w:top w:val="none" w:sz="0" w:space="0" w:color="auto"/>
            <w:left w:val="none" w:sz="0" w:space="0" w:color="auto"/>
            <w:bottom w:val="none" w:sz="0" w:space="0" w:color="auto"/>
            <w:right w:val="none" w:sz="0" w:space="0" w:color="auto"/>
          </w:divBdr>
        </w:div>
        <w:div w:id="1854538457">
          <w:marLeft w:val="0"/>
          <w:marRight w:val="0"/>
          <w:marTop w:val="0"/>
          <w:marBottom w:val="0"/>
          <w:divBdr>
            <w:top w:val="none" w:sz="0" w:space="0" w:color="auto"/>
            <w:left w:val="none" w:sz="0" w:space="0" w:color="auto"/>
            <w:bottom w:val="none" w:sz="0" w:space="0" w:color="auto"/>
            <w:right w:val="none" w:sz="0" w:space="0" w:color="auto"/>
          </w:divBdr>
        </w:div>
        <w:div w:id="1877698239">
          <w:marLeft w:val="0"/>
          <w:marRight w:val="0"/>
          <w:marTop w:val="0"/>
          <w:marBottom w:val="0"/>
          <w:divBdr>
            <w:top w:val="none" w:sz="0" w:space="0" w:color="auto"/>
            <w:left w:val="none" w:sz="0" w:space="0" w:color="auto"/>
            <w:bottom w:val="none" w:sz="0" w:space="0" w:color="auto"/>
            <w:right w:val="none" w:sz="0" w:space="0" w:color="auto"/>
          </w:divBdr>
        </w:div>
        <w:div w:id="1908370381">
          <w:marLeft w:val="0"/>
          <w:marRight w:val="0"/>
          <w:marTop w:val="0"/>
          <w:marBottom w:val="0"/>
          <w:divBdr>
            <w:top w:val="none" w:sz="0" w:space="0" w:color="auto"/>
            <w:left w:val="none" w:sz="0" w:space="0" w:color="auto"/>
            <w:bottom w:val="none" w:sz="0" w:space="0" w:color="auto"/>
            <w:right w:val="none" w:sz="0" w:space="0" w:color="auto"/>
          </w:divBdr>
        </w:div>
        <w:div w:id="1951470038">
          <w:marLeft w:val="0"/>
          <w:marRight w:val="0"/>
          <w:marTop w:val="0"/>
          <w:marBottom w:val="0"/>
          <w:divBdr>
            <w:top w:val="none" w:sz="0" w:space="0" w:color="auto"/>
            <w:left w:val="none" w:sz="0" w:space="0" w:color="auto"/>
            <w:bottom w:val="none" w:sz="0" w:space="0" w:color="auto"/>
            <w:right w:val="none" w:sz="0" w:space="0" w:color="auto"/>
          </w:divBdr>
        </w:div>
        <w:div w:id="1962295629">
          <w:marLeft w:val="0"/>
          <w:marRight w:val="0"/>
          <w:marTop w:val="0"/>
          <w:marBottom w:val="0"/>
          <w:divBdr>
            <w:top w:val="none" w:sz="0" w:space="0" w:color="auto"/>
            <w:left w:val="none" w:sz="0" w:space="0" w:color="auto"/>
            <w:bottom w:val="none" w:sz="0" w:space="0" w:color="auto"/>
            <w:right w:val="none" w:sz="0" w:space="0" w:color="auto"/>
          </w:divBdr>
        </w:div>
        <w:div w:id="1963726092">
          <w:marLeft w:val="0"/>
          <w:marRight w:val="0"/>
          <w:marTop w:val="0"/>
          <w:marBottom w:val="0"/>
          <w:divBdr>
            <w:top w:val="none" w:sz="0" w:space="0" w:color="auto"/>
            <w:left w:val="none" w:sz="0" w:space="0" w:color="auto"/>
            <w:bottom w:val="none" w:sz="0" w:space="0" w:color="auto"/>
            <w:right w:val="none" w:sz="0" w:space="0" w:color="auto"/>
          </w:divBdr>
        </w:div>
        <w:div w:id="1972636968">
          <w:marLeft w:val="0"/>
          <w:marRight w:val="0"/>
          <w:marTop w:val="0"/>
          <w:marBottom w:val="0"/>
          <w:divBdr>
            <w:top w:val="none" w:sz="0" w:space="0" w:color="auto"/>
            <w:left w:val="none" w:sz="0" w:space="0" w:color="auto"/>
            <w:bottom w:val="none" w:sz="0" w:space="0" w:color="auto"/>
            <w:right w:val="none" w:sz="0" w:space="0" w:color="auto"/>
          </w:divBdr>
        </w:div>
        <w:div w:id="1979140183">
          <w:marLeft w:val="0"/>
          <w:marRight w:val="0"/>
          <w:marTop w:val="0"/>
          <w:marBottom w:val="0"/>
          <w:divBdr>
            <w:top w:val="none" w:sz="0" w:space="0" w:color="auto"/>
            <w:left w:val="none" w:sz="0" w:space="0" w:color="auto"/>
            <w:bottom w:val="none" w:sz="0" w:space="0" w:color="auto"/>
            <w:right w:val="none" w:sz="0" w:space="0" w:color="auto"/>
          </w:divBdr>
        </w:div>
        <w:div w:id="1989896267">
          <w:marLeft w:val="0"/>
          <w:marRight w:val="0"/>
          <w:marTop w:val="0"/>
          <w:marBottom w:val="0"/>
          <w:divBdr>
            <w:top w:val="none" w:sz="0" w:space="0" w:color="auto"/>
            <w:left w:val="none" w:sz="0" w:space="0" w:color="auto"/>
            <w:bottom w:val="none" w:sz="0" w:space="0" w:color="auto"/>
            <w:right w:val="none" w:sz="0" w:space="0" w:color="auto"/>
          </w:divBdr>
        </w:div>
        <w:div w:id="2017658351">
          <w:marLeft w:val="0"/>
          <w:marRight w:val="0"/>
          <w:marTop w:val="0"/>
          <w:marBottom w:val="0"/>
          <w:divBdr>
            <w:top w:val="none" w:sz="0" w:space="0" w:color="auto"/>
            <w:left w:val="none" w:sz="0" w:space="0" w:color="auto"/>
            <w:bottom w:val="none" w:sz="0" w:space="0" w:color="auto"/>
            <w:right w:val="none" w:sz="0" w:space="0" w:color="auto"/>
          </w:divBdr>
        </w:div>
        <w:div w:id="2035112473">
          <w:marLeft w:val="0"/>
          <w:marRight w:val="0"/>
          <w:marTop w:val="0"/>
          <w:marBottom w:val="0"/>
          <w:divBdr>
            <w:top w:val="none" w:sz="0" w:space="0" w:color="auto"/>
            <w:left w:val="none" w:sz="0" w:space="0" w:color="auto"/>
            <w:bottom w:val="none" w:sz="0" w:space="0" w:color="auto"/>
            <w:right w:val="none" w:sz="0" w:space="0" w:color="auto"/>
          </w:divBdr>
        </w:div>
        <w:div w:id="2035230856">
          <w:marLeft w:val="0"/>
          <w:marRight w:val="0"/>
          <w:marTop w:val="0"/>
          <w:marBottom w:val="0"/>
          <w:divBdr>
            <w:top w:val="none" w:sz="0" w:space="0" w:color="auto"/>
            <w:left w:val="none" w:sz="0" w:space="0" w:color="auto"/>
            <w:bottom w:val="none" w:sz="0" w:space="0" w:color="auto"/>
            <w:right w:val="none" w:sz="0" w:space="0" w:color="auto"/>
          </w:divBdr>
        </w:div>
        <w:div w:id="2036886450">
          <w:marLeft w:val="0"/>
          <w:marRight w:val="0"/>
          <w:marTop w:val="0"/>
          <w:marBottom w:val="0"/>
          <w:divBdr>
            <w:top w:val="none" w:sz="0" w:space="0" w:color="auto"/>
            <w:left w:val="none" w:sz="0" w:space="0" w:color="auto"/>
            <w:bottom w:val="none" w:sz="0" w:space="0" w:color="auto"/>
            <w:right w:val="none" w:sz="0" w:space="0" w:color="auto"/>
          </w:divBdr>
        </w:div>
        <w:div w:id="2053192571">
          <w:marLeft w:val="0"/>
          <w:marRight w:val="0"/>
          <w:marTop w:val="0"/>
          <w:marBottom w:val="0"/>
          <w:divBdr>
            <w:top w:val="none" w:sz="0" w:space="0" w:color="auto"/>
            <w:left w:val="none" w:sz="0" w:space="0" w:color="auto"/>
            <w:bottom w:val="none" w:sz="0" w:space="0" w:color="auto"/>
            <w:right w:val="none" w:sz="0" w:space="0" w:color="auto"/>
          </w:divBdr>
        </w:div>
        <w:div w:id="2074690509">
          <w:marLeft w:val="0"/>
          <w:marRight w:val="0"/>
          <w:marTop w:val="0"/>
          <w:marBottom w:val="0"/>
          <w:divBdr>
            <w:top w:val="none" w:sz="0" w:space="0" w:color="auto"/>
            <w:left w:val="none" w:sz="0" w:space="0" w:color="auto"/>
            <w:bottom w:val="none" w:sz="0" w:space="0" w:color="auto"/>
            <w:right w:val="none" w:sz="0" w:space="0" w:color="auto"/>
          </w:divBdr>
        </w:div>
        <w:div w:id="2096004376">
          <w:marLeft w:val="0"/>
          <w:marRight w:val="0"/>
          <w:marTop w:val="0"/>
          <w:marBottom w:val="0"/>
          <w:divBdr>
            <w:top w:val="none" w:sz="0" w:space="0" w:color="auto"/>
            <w:left w:val="none" w:sz="0" w:space="0" w:color="auto"/>
            <w:bottom w:val="none" w:sz="0" w:space="0" w:color="auto"/>
            <w:right w:val="none" w:sz="0" w:space="0" w:color="auto"/>
          </w:divBdr>
        </w:div>
        <w:div w:id="2106993501">
          <w:marLeft w:val="0"/>
          <w:marRight w:val="0"/>
          <w:marTop w:val="0"/>
          <w:marBottom w:val="0"/>
          <w:divBdr>
            <w:top w:val="none" w:sz="0" w:space="0" w:color="auto"/>
            <w:left w:val="none" w:sz="0" w:space="0" w:color="auto"/>
            <w:bottom w:val="none" w:sz="0" w:space="0" w:color="auto"/>
            <w:right w:val="none" w:sz="0" w:space="0" w:color="auto"/>
          </w:divBdr>
        </w:div>
        <w:div w:id="2141073256">
          <w:marLeft w:val="0"/>
          <w:marRight w:val="0"/>
          <w:marTop w:val="0"/>
          <w:marBottom w:val="0"/>
          <w:divBdr>
            <w:top w:val="none" w:sz="0" w:space="0" w:color="auto"/>
            <w:left w:val="none" w:sz="0" w:space="0" w:color="auto"/>
            <w:bottom w:val="none" w:sz="0" w:space="0" w:color="auto"/>
            <w:right w:val="none" w:sz="0" w:space="0" w:color="auto"/>
          </w:divBdr>
        </w:div>
        <w:div w:id="2145735474">
          <w:marLeft w:val="0"/>
          <w:marRight w:val="0"/>
          <w:marTop w:val="0"/>
          <w:marBottom w:val="0"/>
          <w:divBdr>
            <w:top w:val="none" w:sz="0" w:space="0" w:color="auto"/>
            <w:left w:val="none" w:sz="0" w:space="0" w:color="auto"/>
            <w:bottom w:val="none" w:sz="0" w:space="0" w:color="auto"/>
            <w:right w:val="none" w:sz="0" w:space="0" w:color="auto"/>
          </w:divBdr>
        </w:div>
      </w:divsChild>
    </w:div>
    <w:div w:id="1552382144">
      <w:bodyDiv w:val="1"/>
      <w:marLeft w:val="0"/>
      <w:marRight w:val="0"/>
      <w:marTop w:val="0"/>
      <w:marBottom w:val="0"/>
      <w:divBdr>
        <w:top w:val="none" w:sz="0" w:space="0" w:color="auto"/>
        <w:left w:val="none" w:sz="0" w:space="0" w:color="auto"/>
        <w:bottom w:val="none" w:sz="0" w:space="0" w:color="auto"/>
        <w:right w:val="none" w:sz="0" w:space="0" w:color="auto"/>
      </w:divBdr>
    </w:div>
    <w:div w:id="1572695561">
      <w:bodyDiv w:val="1"/>
      <w:marLeft w:val="0"/>
      <w:marRight w:val="0"/>
      <w:marTop w:val="0"/>
      <w:marBottom w:val="0"/>
      <w:divBdr>
        <w:top w:val="none" w:sz="0" w:space="0" w:color="auto"/>
        <w:left w:val="none" w:sz="0" w:space="0" w:color="auto"/>
        <w:bottom w:val="none" w:sz="0" w:space="0" w:color="auto"/>
        <w:right w:val="none" w:sz="0" w:space="0" w:color="auto"/>
      </w:divBdr>
      <w:divsChild>
        <w:div w:id="1472206390">
          <w:marLeft w:val="0"/>
          <w:marRight w:val="0"/>
          <w:marTop w:val="0"/>
          <w:marBottom w:val="0"/>
          <w:divBdr>
            <w:top w:val="none" w:sz="0" w:space="0" w:color="auto"/>
            <w:left w:val="none" w:sz="0" w:space="0" w:color="auto"/>
            <w:bottom w:val="none" w:sz="0" w:space="0" w:color="auto"/>
            <w:right w:val="none" w:sz="0" w:space="0" w:color="auto"/>
          </w:divBdr>
        </w:div>
        <w:div w:id="380711091">
          <w:marLeft w:val="0"/>
          <w:marRight w:val="0"/>
          <w:marTop w:val="0"/>
          <w:marBottom w:val="0"/>
          <w:divBdr>
            <w:top w:val="none" w:sz="0" w:space="0" w:color="auto"/>
            <w:left w:val="none" w:sz="0" w:space="0" w:color="auto"/>
            <w:bottom w:val="none" w:sz="0" w:space="0" w:color="auto"/>
            <w:right w:val="none" w:sz="0" w:space="0" w:color="auto"/>
          </w:divBdr>
        </w:div>
        <w:div w:id="1546913966">
          <w:marLeft w:val="0"/>
          <w:marRight w:val="0"/>
          <w:marTop w:val="0"/>
          <w:marBottom w:val="0"/>
          <w:divBdr>
            <w:top w:val="none" w:sz="0" w:space="0" w:color="auto"/>
            <w:left w:val="none" w:sz="0" w:space="0" w:color="auto"/>
            <w:bottom w:val="none" w:sz="0" w:space="0" w:color="auto"/>
            <w:right w:val="none" w:sz="0" w:space="0" w:color="auto"/>
          </w:divBdr>
        </w:div>
        <w:div w:id="134030191">
          <w:marLeft w:val="0"/>
          <w:marRight w:val="0"/>
          <w:marTop w:val="0"/>
          <w:marBottom w:val="0"/>
          <w:divBdr>
            <w:top w:val="none" w:sz="0" w:space="0" w:color="auto"/>
            <w:left w:val="none" w:sz="0" w:space="0" w:color="auto"/>
            <w:bottom w:val="none" w:sz="0" w:space="0" w:color="auto"/>
            <w:right w:val="none" w:sz="0" w:space="0" w:color="auto"/>
          </w:divBdr>
        </w:div>
        <w:div w:id="2128501892">
          <w:marLeft w:val="0"/>
          <w:marRight w:val="0"/>
          <w:marTop w:val="0"/>
          <w:marBottom w:val="0"/>
          <w:divBdr>
            <w:top w:val="none" w:sz="0" w:space="0" w:color="auto"/>
            <w:left w:val="none" w:sz="0" w:space="0" w:color="auto"/>
            <w:bottom w:val="none" w:sz="0" w:space="0" w:color="auto"/>
            <w:right w:val="none" w:sz="0" w:space="0" w:color="auto"/>
          </w:divBdr>
        </w:div>
        <w:div w:id="1726417638">
          <w:marLeft w:val="0"/>
          <w:marRight w:val="0"/>
          <w:marTop w:val="0"/>
          <w:marBottom w:val="0"/>
          <w:divBdr>
            <w:top w:val="none" w:sz="0" w:space="0" w:color="auto"/>
            <w:left w:val="none" w:sz="0" w:space="0" w:color="auto"/>
            <w:bottom w:val="none" w:sz="0" w:space="0" w:color="auto"/>
            <w:right w:val="none" w:sz="0" w:space="0" w:color="auto"/>
          </w:divBdr>
        </w:div>
        <w:div w:id="829298363">
          <w:marLeft w:val="0"/>
          <w:marRight w:val="0"/>
          <w:marTop w:val="0"/>
          <w:marBottom w:val="0"/>
          <w:divBdr>
            <w:top w:val="none" w:sz="0" w:space="0" w:color="auto"/>
            <w:left w:val="none" w:sz="0" w:space="0" w:color="auto"/>
            <w:bottom w:val="none" w:sz="0" w:space="0" w:color="auto"/>
            <w:right w:val="none" w:sz="0" w:space="0" w:color="auto"/>
          </w:divBdr>
        </w:div>
        <w:div w:id="79109121">
          <w:marLeft w:val="0"/>
          <w:marRight w:val="0"/>
          <w:marTop w:val="0"/>
          <w:marBottom w:val="0"/>
          <w:divBdr>
            <w:top w:val="none" w:sz="0" w:space="0" w:color="auto"/>
            <w:left w:val="none" w:sz="0" w:space="0" w:color="auto"/>
            <w:bottom w:val="none" w:sz="0" w:space="0" w:color="auto"/>
            <w:right w:val="none" w:sz="0" w:space="0" w:color="auto"/>
          </w:divBdr>
        </w:div>
        <w:div w:id="1816531321">
          <w:marLeft w:val="0"/>
          <w:marRight w:val="0"/>
          <w:marTop w:val="0"/>
          <w:marBottom w:val="0"/>
          <w:divBdr>
            <w:top w:val="none" w:sz="0" w:space="0" w:color="auto"/>
            <w:left w:val="none" w:sz="0" w:space="0" w:color="auto"/>
            <w:bottom w:val="none" w:sz="0" w:space="0" w:color="auto"/>
            <w:right w:val="none" w:sz="0" w:space="0" w:color="auto"/>
          </w:divBdr>
        </w:div>
        <w:div w:id="1848865605">
          <w:marLeft w:val="0"/>
          <w:marRight w:val="0"/>
          <w:marTop w:val="0"/>
          <w:marBottom w:val="0"/>
          <w:divBdr>
            <w:top w:val="none" w:sz="0" w:space="0" w:color="auto"/>
            <w:left w:val="none" w:sz="0" w:space="0" w:color="auto"/>
            <w:bottom w:val="none" w:sz="0" w:space="0" w:color="auto"/>
            <w:right w:val="none" w:sz="0" w:space="0" w:color="auto"/>
          </w:divBdr>
        </w:div>
        <w:div w:id="1501579823">
          <w:marLeft w:val="0"/>
          <w:marRight w:val="0"/>
          <w:marTop w:val="0"/>
          <w:marBottom w:val="0"/>
          <w:divBdr>
            <w:top w:val="none" w:sz="0" w:space="0" w:color="auto"/>
            <w:left w:val="none" w:sz="0" w:space="0" w:color="auto"/>
            <w:bottom w:val="none" w:sz="0" w:space="0" w:color="auto"/>
            <w:right w:val="none" w:sz="0" w:space="0" w:color="auto"/>
          </w:divBdr>
        </w:div>
        <w:div w:id="2057779899">
          <w:marLeft w:val="0"/>
          <w:marRight w:val="0"/>
          <w:marTop w:val="0"/>
          <w:marBottom w:val="0"/>
          <w:divBdr>
            <w:top w:val="none" w:sz="0" w:space="0" w:color="auto"/>
            <w:left w:val="none" w:sz="0" w:space="0" w:color="auto"/>
            <w:bottom w:val="none" w:sz="0" w:space="0" w:color="auto"/>
            <w:right w:val="none" w:sz="0" w:space="0" w:color="auto"/>
          </w:divBdr>
        </w:div>
        <w:div w:id="855920233">
          <w:marLeft w:val="0"/>
          <w:marRight w:val="0"/>
          <w:marTop w:val="0"/>
          <w:marBottom w:val="0"/>
          <w:divBdr>
            <w:top w:val="none" w:sz="0" w:space="0" w:color="auto"/>
            <w:left w:val="none" w:sz="0" w:space="0" w:color="auto"/>
            <w:bottom w:val="none" w:sz="0" w:space="0" w:color="auto"/>
            <w:right w:val="none" w:sz="0" w:space="0" w:color="auto"/>
          </w:divBdr>
        </w:div>
        <w:div w:id="889658152">
          <w:marLeft w:val="0"/>
          <w:marRight w:val="0"/>
          <w:marTop w:val="0"/>
          <w:marBottom w:val="0"/>
          <w:divBdr>
            <w:top w:val="none" w:sz="0" w:space="0" w:color="auto"/>
            <w:left w:val="none" w:sz="0" w:space="0" w:color="auto"/>
            <w:bottom w:val="none" w:sz="0" w:space="0" w:color="auto"/>
            <w:right w:val="none" w:sz="0" w:space="0" w:color="auto"/>
          </w:divBdr>
        </w:div>
      </w:divsChild>
    </w:div>
    <w:div w:id="1622227253">
      <w:bodyDiv w:val="1"/>
      <w:marLeft w:val="0"/>
      <w:marRight w:val="0"/>
      <w:marTop w:val="0"/>
      <w:marBottom w:val="0"/>
      <w:divBdr>
        <w:top w:val="none" w:sz="0" w:space="0" w:color="auto"/>
        <w:left w:val="none" w:sz="0" w:space="0" w:color="auto"/>
        <w:bottom w:val="none" w:sz="0" w:space="0" w:color="auto"/>
        <w:right w:val="none" w:sz="0" w:space="0" w:color="auto"/>
      </w:divBdr>
      <w:divsChild>
        <w:div w:id="1080561078">
          <w:marLeft w:val="0"/>
          <w:marRight w:val="0"/>
          <w:marTop w:val="0"/>
          <w:marBottom w:val="0"/>
          <w:divBdr>
            <w:top w:val="none" w:sz="0" w:space="0" w:color="auto"/>
            <w:left w:val="none" w:sz="0" w:space="0" w:color="auto"/>
            <w:bottom w:val="none" w:sz="0" w:space="0" w:color="auto"/>
            <w:right w:val="none" w:sz="0" w:space="0" w:color="auto"/>
          </w:divBdr>
        </w:div>
        <w:div w:id="484053563">
          <w:marLeft w:val="0"/>
          <w:marRight w:val="0"/>
          <w:marTop w:val="0"/>
          <w:marBottom w:val="0"/>
          <w:divBdr>
            <w:top w:val="none" w:sz="0" w:space="0" w:color="auto"/>
            <w:left w:val="none" w:sz="0" w:space="0" w:color="auto"/>
            <w:bottom w:val="none" w:sz="0" w:space="0" w:color="auto"/>
            <w:right w:val="none" w:sz="0" w:space="0" w:color="auto"/>
          </w:divBdr>
        </w:div>
        <w:div w:id="1551185181">
          <w:marLeft w:val="0"/>
          <w:marRight w:val="0"/>
          <w:marTop w:val="0"/>
          <w:marBottom w:val="0"/>
          <w:divBdr>
            <w:top w:val="none" w:sz="0" w:space="0" w:color="auto"/>
            <w:left w:val="none" w:sz="0" w:space="0" w:color="auto"/>
            <w:bottom w:val="none" w:sz="0" w:space="0" w:color="auto"/>
            <w:right w:val="none" w:sz="0" w:space="0" w:color="auto"/>
          </w:divBdr>
        </w:div>
        <w:div w:id="791285223">
          <w:marLeft w:val="0"/>
          <w:marRight w:val="0"/>
          <w:marTop w:val="0"/>
          <w:marBottom w:val="0"/>
          <w:divBdr>
            <w:top w:val="none" w:sz="0" w:space="0" w:color="auto"/>
            <w:left w:val="none" w:sz="0" w:space="0" w:color="auto"/>
            <w:bottom w:val="none" w:sz="0" w:space="0" w:color="auto"/>
            <w:right w:val="none" w:sz="0" w:space="0" w:color="auto"/>
          </w:divBdr>
        </w:div>
        <w:div w:id="1666057116">
          <w:marLeft w:val="0"/>
          <w:marRight w:val="0"/>
          <w:marTop w:val="0"/>
          <w:marBottom w:val="0"/>
          <w:divBdr>
            <w:top w:val="none" w:sz="0" w:space="0" w:color="auto"/>
            <w:left w:val="none" w:sz="0" w:space="0" w:color="auto"/>
            <w:bottom w:val="none" w:sz="0" w:space="0" w:color="auto"/>
            <w:right w:val="none" w:sz="0" w:space="0" w:color="auto"/>
          </w:divBdr>
        </w:div>
        <w:div w:id="1859804946">
          <w:marLeft w:val="0"/>
          <w:marRight w:val="0"/>
          <w:marTop w:val="0"/>
          <w:marBottom w:val="0"/>
          <w:divBdr>
            <w:top w:val="none" w:sz="0" w:space="0" w:color="auto"/>
            <w:left w:val="none" w:sz="0" w:space="0" w:color="auto"/>
            <w:bottom w:val="none" w:sz="0" w:space="0" w:color="auto"/>
            <w:right w:val="none" w:sz="0" w:space="0" w:color="auto"/>
          </w:divBdr>
        </w:div>
        <w:div w:id="1745226208">
          <w:marLeft w:val="0"/>
          <w:marRight w:val="0"/>
          <w:marTop w:val="0"/>
          <w:marBottom w:val="0"/>
          <w:divBdr>
            <w:top w:val="none" w:sz="0" w:space="0" w:color="auto"/>
            <w:left w:val="none" w:sz="0" w:space="0" w:color="auto"/>
            <w:bottom w:val="none" w:sz="0" w:space="0" w:color="auto"/>
            <w:right w:val="none" w:sz="0" w:space="0" w:color="auto"/>
          </w:divBdr>
        </w:div>
        <w:div w:id="1876233164">
          <w:marLeft w:val="0"/>
          <w:marRight w:val="0"/>
          <w:marTop w:val="0"/>
          <w:marBottom w:val="0"/>
          <w:divBdr>
            <w:top w:val="none" w:sz="0" w:space="0" w:color="auto"/>
            <w:left w:val="none" w:sz="0" w:space="0" w:color="auto"/>
            <w:bottom w:val="none" w:sz="0" w:space="0" w:color="auto"/>
            <w:right w:val="none" w:sz="0" w:space="0" w:color="auto"/>
          </w:divBdr>
        </w:div>
        <w:div w:id="614022407">
          <w:marLeft w:val="0"/>
          <w:marRight w:val="0"/>
          <w:marTop w:val="0"/>
          <w:marBottom w:val="0"/>
          <w:divBdr>
            <w:top w:val="none" w:sz="0" w:space="0" w:color="auto"/>
            <w:left w:val="none" w:sz="0" w:space="0" w:color="auto"/>
            <w:bottom w:val="none" w:sz="0" w:space="0" w:color="auto"/>
            <w:right w:val="none" w:sz="0" w:space="0" w:color="auto"/>
          </w:divBdr>
        </w:div>
        <w:div w:id="1147670348">
          <w:marLeft w:val="0"/>
          <w:marRight w:val="0"/>
          <w:marTop w:val="0"/>
          <w:marBottom w:val="0"/>
          <w:divBdr>
            <w:top w:val="none" w:sz="0" w:space="0" w:color="auto"/>
            <w:left w:val="none" w:sz="0" w:space="0" w:color="auto"/>
            <w:bottom w:val="none" w:sz="0" w:space="0" w:color="auto"/>
            <w:right w:val="none" w:sz="0" w:space="0" w:color="auto"/>
          </w:divBdr>
        </w:div>
      </w:divsChild>
    </w:div>
    <w:div w:id="1627538364">
      <w:bodyDiv w:val="1"/>
      <w:marLeft w:val="0"/>
      <w:marRight w:val="0"/>
      <w:marTop w:val="0"/>
      <w:marBottom w:val="0"/>
      <w:divBdr>
        <w:top w:val="none" w:sz="0" w:space="0" w:color="auto"/>
        <w:left w:val="none" w:sz="0" w:space="0" w:color="auto"/>
        <w:bottom w:val="none" w:sz="0" w:space="0" w:color="auto"/>
        <w:right w:val="none" w:sz="0" w:space="0" w:color="auto"/>
      </w:divBdr>
      <w:divsChild>
        <w:div w:id="168982691">
          <w:marLeft w:val="0"/>
          <w:marRight w:val="0"/>
          <w:marTop w:val="0"/>
          <w:marBottom w:val="0"/>
          <w:divBdr>
            <w:top w:val="none" w:sz="0" w:space="0" w:color="auto"/>
            <w:left w:val="none" w:sz="0" w:space="0" w:color="auto"/>
            <w:bottom w:val="none" w:sz="0" w:space="0" w:color="auto"/>
            <w:right w:val="none" w:sz="0" w:space="0" w:color="auto"/>
          </w:divBdr>
        </w:div>
        <w:div w:id="566959183">
          <w:marLeft w:val="0"/>
          <w:marRight w:val="0"/>
          <w:marTop w:val="0"/>
          <w:marBottom w:val="0"/>
          <w:divBdr>
            <w:top w:val="none" w:sz="0" w:space="0" w:color="auto"/>
            <w:left w:val="none" w:sz="0" w:space="0" w:color="auto"/>
            <w:bottom w:val="none" w:sz="0" w:space="0" w:color="auto"/>
            <w:right w:val="none" w:sz="0" w:space="0" w:color="auto"/>
          </w:divBdr>
        </w:div>
        <w:div w:id="352072046">
          <w:marLeft w:val="0"/>
          <w:marRight w:val="0"/>
          <w:marTop w:val="0"/>
          <w:marBottom w:val="0"/>
          <w:divBdr>
            <w:top w:val="none" w:sz="0" w:space="0" w:color="auto"/>
            <w:left w:val="none" w:sz="0" w:space="0" w:color="auto"/>
            <w:bottom w:val="none" w:sz="0" w:space="0" w:color="auto"/>
            <w:right w:val="none" w:sz="0" w:space="0" w:color="auto"/>
          </w:divBdr>
        </w:div>
        <w:div w:id="1487433927">
          <w:marLeft w:val="0"/>
          <w:marRight w:val="0"/>
          <w:marTop w:val="0"/>
          <w:marBottom w:val="0"/>
          <w:divBdr>
            <w:top w:val="none" w:sz="0" w:space="0" w:color="auto"/>
            <w:left w:val="none" w:sz="0" w:space="0" w:color="auto"/>
            <w:bottom w:val="none" w:sz="0" w:space="0" w:color="auto"/>
            <w:right w:val="none" w:sz="0" w:space="0" w:color="auto"/>
          </w:divBdr>
        </w:div>
        <w:div w:id="663120376">
          <w:marLeft w:val="0"/>
          <w:marRight w:val="0"/>
          <w:marTop w:val="0"/>
          <w:marBottom w:val="0"/>
          <w:divBdr>
            <w:top w:val="none" w:sz="0" w:space="0" w:color="auto"/>
            <w:left w:val="none" w:sz="0" w:space="0" w:color="auto"/>
            <w:bottom w:val="none" w:sz="0" w:space="0" w:color="auto"/>
            <w:right w:val="none" w:sz="0" w:space="0" w:color="auto"/>
          </w:divBdr>
        </w:div>
        <w:div w:id="1850946489">
          <w:marLeft w:val="0"/>
          <w:marRight w:val="0"/>
          <w:marTop w:val="0"/>
          <w:marBottom w:val="0"/>
          <w:divBdr>
            <w:top w:val="none" w:sz="0" w:space="0" w:color="auto"/>
            <w:left w:val="none" w:sz="0" w:space="0" w:color="auto"/>
            <w:bottom w:val="none" w:sz="0" w:space="0" w:color="auto"/>
            <w:right w:val="none" w:sz="0" w:space="0" w:color="auto"/>
          </w:divBdr>
        </w:div>
      </w:divsChild>
    </w:div>
    <w:div w:id="1663578267">
      <w:bodyDiv w:val="1"/>
      <w:marLeft w:val="0"/>
      <w:marRight w:val="0"/>
      <w:marTop w:val="0"/>
      <w:marBottom w:val="0"/>
      <w:divBdr>
        <w:top w:val="none" w:sz="0" w:space="0" w:color="auto"/>
        <w:left w:val="none" w:sz="0" w:space="0" w:color="auto"/>
        <w:bottom w:val="none" w:sz="0" w:space="0" w:color="auto"/>
        <w:right w:val="none" w:sz="0" w:space="0" w:color="auto"/>
      </w:divBdr>
    </w:div>
    <w:div w:id="1733893488">
      <w:bodyDiv w:val="1"/>
      <w:marLeft w:val="0"/>
      <w:marRight w:val="0"/>
      <w:marTop w:val="0"/>
      <w:marBottom w:val="0"/>
      <w:divBdr>
        <w:top w:val="none" w:sz="0" w:space="0" w:color="auto"/>
        <w:left w:val="none" w:sz="0" w:space="0" w:color="auto"/>
        <w:bottom w:val="none" w:sz="0" w:space="0" w:color="auto"/>
        <w:right w:val="none" w:sz="0" w:space="0" w:color="auto"/>
      </w:divBdr>
    </w:div>
    <w:div w:id="1740135916">
      <w:marLeft w:val="0"/>
      <w:marRight w:val="0"/>
      <w:marTop w:val="0"/>
      <w:marBottom w:val="0"/>
      <w:divBdr>
        <w:top w:val="none" w:sz="0" w:space="0" w:color="auto"/>
        <w:left w:val="none" w:sz="0" w:space="0" w:color="auto"/>
        <w:bottom w:val="none" w:sz="0" w:space="0" w:color="auto"/>
        <w:right w:val="none" w:sz="0" w:space="0" w:color="auto"/>
      </w:divBdr>
    </w:div>
    <w:div w:id="1740135917">
      <w:marLeft w:val="0"/>
      <w:marRight w:val="0"/>
      <w:marTop w:val="0"/>
      <w:marBottom w:val="0"/>
      <w:divBdr>
        <w:top w:val="none" w:sz="0" w:space="0" w:color="auto"/>
        <w:left w:val="none" w:sz="0" w:space="0" w:color="auto"/>
        <w:bottom w:val="none" w:sz="0" w:space="0" w:color="auto"/>
        <w:right w:val="none" w:sz="0" w:space="0" w:color="auto"/>
      </w:divBdr>
    </w:div>
    <w:div w:id="1740135918">
      <w:marLeft w:val="0"/>
      <w:marRight w:val="0"/>
      <w:marTop w:val="0"/>
      <w:marBottom w:val="0"/>
      <w:divBdr>
        <w:top w:val="none" w:sz="0" w:space="0" w:color="auto"/>
        <w:left w:val="none" w:sz="0" w:space="0" w:color="auto"/>
        <w:bottom w:val="none" w:sz="0" w:space="0" w:color="auto"/>
        <w:right w:val="none" w:sz="0" w:space="0" w:color="auto"/>
      </w:divBdr>
    </w:div>
    <w:div w:id="1740135919">
      <w:marLeft w:val="0"/>
      <w:marRight w:val="0"/>
      <w:marTop w:val="0"/>
      <w:marBottom w:val="0"/>
      <w:divBdr>
        <w:top w:val="none" w:sz="0" w:space="0" w:color="auto"/>
        <w:left w:val="none" w:sz="0" w:space="0" w:color="auto"/>
        <w:bottom w:val="none" w:sz="0" w:space="0" w:color="auto"/>
        <w:right w:val="none" w:sz="0" w:space="0" w:color="auto"/>
      </w:divBdr>
    </w:div>
    <w:div w:id="1740135920">
      <w:marLeft w:val="0"/>
      <w:marRight w:val="0"/>
      <w:marTop w:val="0"/>
      <w:marBottom w:val="0"/>
      <w:divBdr>
        <w:top w:val="none" w:sz="0" w:space="0" w:color="auto"/>
        <w:left w:val="none" w:sz="0" w:space="0" w:color="auto"/>
        <w:bottom w:val="none" w:sz="0" w:space="0" w:color="auto"/>
        <w:right w:val="none" w:sz="0" w:space="0" w:color="auto"/>
      </w:divBdr>
    </w:div>
    <w:div w:id="1740135921">
      <w:marLeft w:val="0"/>
      <w:marRight w:val="0"/>
      <w:marTop w:val="0"/>
      <w:marBottom w:val="0"/>
      <w:divBdr>
        <w:top w:val="none" w:sz="0" w:space="0" w:color="auto"/>
        <w:left w:val="none" w:sz="0" w:space="0" w:color="auto"/>
        <w:bottom w:val="none" w:sz="0" w:space="0" w:color="auto"/>
        <w:right w:val="none" w:sz="0" w:space="0" w:color="auto"/>
      </w:divBdr>
    </w:div>
    <w:div w:id="1740135922">
      <w:marLeft w:val="0"/>
      <w:marRight w:val="0"/>
      <w:marTop w:val="0"/>
      <w:marBottom w:val="0"/>
      <w:divBdr>
        <w:top w:val="none" w:sz="0" w:space="0" w:color="auto"/>
        <w:left w:val="none" w:sz="0" w:space="0" w:color="auto"/>
        <w:bottom w:val="none" w:sz="0" w:space="0" w:color="auto"/>
        <w:right w:val="none" w:sz="0" w:space="0" w:color="auto"/>
      </w:divBdr>
    </w:div>
    <w:div w:id="1740135923">
      <w:marLeft w:val="0"/>
      <w:marRight w:val="0"/>
      <w:marTop w:val="0"/>
      <w:marBottom w:val="0"/>
      <w:divBdr>
        <w:top w:val="none" w:sz="0" w:space="0" w:color="auto"/>
        <w:left w:val="none" w:sz="0" w:space="0" w:color="auto"/>
        <w:bottom w:val="none" w:sz="0" w:space="0" w:color="auto"/>
        <w:right w:val="none" w:sz="0" w:space="0" w:color="auto"/>
      </w:divBdr>
    </w:div>
    <w:div w:id="1740135924">
      <w:marLeft w:val="0"/>
      <w:marRight w:val="0"/>
      <w:marTop w:val="0"/>
      <w:marBottom w:val="0"/>
      <w:divBdr>
        <w:top w:val="none" w:sz="0" w:space="0" w:color="auto"/>
        <w:left w:val="none" w:sz="0" w:space="0" w:color="auto"/>
        <w:bottom w:val="none" w:sz="0" w:space="0" w:color="auto"/>
        <w:right w:val="none" w:sz="0" w:space="0" w:color="auto"/>
      </w:divBdr>
    </w:div>
    <w:div w:id="1744253181">
      <w:bodyDiv w:val="1"/>
      <w:marLeft w:val="0"/>
      <w:marRight w:val="0"/>
      <w:marTop w:val="0"/>
      <w:marBottom w:val="0"/>
      <w:divBdr>
        <w:top w:val="none" w:sz="0" w:space="0" w:color="auto"/>
        <w:left w:val="none" w:sz="0" w:space="0" w:color="auto"/>
        <w:bottom w:val="none" w:sz="0" w:space="0" w:color="auto"/>
        <w:right w:val="none" w:sz="0" w:space="0" w:color="auto"/>
      </w:divBdr>
      <w:divsChild>
        <w:div w:id="278486437">
          <w:marLeft w:val="0"/>
          <w:marRight w:val="0"/>
          <w:marTop w:val="0"/>
          <w:marBottom w:val="0"/>
          <w:divBdr>
            <w:top w:val="none" w:sz="0" w:space="0" w:color="auto"/>
            <w:left w:val="none" w:sz="0" w:space="0" w:color="auto"/>
            <w:bottom w:val="none" w:sz="0" w:space="0" w:color="auto"/>
            <w:right w:val="none" w:sz="0" w:space="0" w:color="auto"/>
          </w:divBdr>
        </w:div>
        <w:div w:id="714504444">
          <w:marLeft w:val="0"/>
          <w:marRight w:val="0"/>
          <w:marTop w:val="0"/>
          <w:marBottom w:val="0"/>
          <w:divBdr>
            <w:top w:val="none" w:sz="0" w:space="0" w:color="auto"/>
            <w:left w:val="none" w:sz="0" w:space="0" w:color="auto"/>
            <w:bottom w:val="none" w:sz="0" w:space="0" w:color="auto"/>
            <w:right w:val="none" w:sz="0" w:space="0" w:color="auto"/>
          </w:divBdr>
        </w:div>
        <w:div w:id="800734066">
          <w:marLeft w:val="0"/>
          <w:marRight w:val="0"/>
          <w:marTop w:val="0"/>
          <w:marBottom w:val="0"/>
          <w:divBdr>
            <w:top w:val="none" w:sz="0" w:space="0" w:color="auto"/>
            <w:left w:val="none" w:sz="0" w:space="0" w:color="auto"/>
            <w:bottom w:val="none" w:sz="0" w:space="0" w:color="auto"/>
            <w:right w:val="none" w:sz="0" w:space="0" w:color="auto"/>
          </w:divBdr>
        </w:div>
        <w:div w:id="921765894">
          <w:marLeft w:val="0"/>
          <w:marRight w:val="0"/>
          <w:marTop w:val="0"/>
          <w:marBottom w:val="0"/>
          <w:divBdr>
            <w:top w:val="none" w:sz="0" w:space="0" w:color="auto"/>
            <w:left w:val="none" w:sz="0" w:space="0" w:color="auto"/>
            <w:bottom w:val="none" w:sz="0" w:space="0" w:color="auto"/>
            <w:right w:val="none" w:sz="0" w:space="0" w:color="auto"/>
          </w:divBdr>
        </w:div>
        <w:div w:id="927151100">
          <w:marLeft w:val="0"/>
          <w:marRight w:val="0"/>
          <w:marTop w:val="0"/>
          <w:marBottom w:val="0"/>
          <w:divBdr>
            <w:top w:val="none" w:sz="0" w:space="0" w:color="auto"/>
            <w:left w:val="none" w:sz="0" w:space="0" w:color="auto"/>
            <w:bottom w:val="none" w:sz="0" w:space="0" w:color="auto"/>
            <w:right w:val="none" w:sz="0" w:space="0" w:color="auto"/>
          </w:divBdr>
        </w:div>
        <w:div w:id="943423185">
          <w:marLeft w:val="0"/>
          <w:marRight w:val="0"/>
          <w:marTop w:val="0"/>
          <w:marBottom w:val="0"/>
          <w:divBdr>
            <w:top w:val="none" w:sz="0" w:space="0" w:color="auto"/>
            <w:left w:val="none" w:sz="0" w:space="0" w:color="auto"/>
            <w:bottom w:val="none" w:sz="0" w:space="0" w:color="auto"/>
            <w:right w:val="none" w:sz="0" w:space="0" w:color="auto"/>
          </w:divBdr>
        </w:div>
        <w:div w:id="974338854">
          <w:marLeft w:val="0"/>
          <w:marRight w:val="0"/>
          <w:marTop w:val="0"/>
          <w:marBottom w:val="0"/>
          <w:divBdr>
            <w:top w:val="none" w:sz="0" w:space="0" w:color="auto"/>
            <w:left w:val="none" w:sz="0" w:space="0" w:color="auto"/>
            <w:bottom w:val="none" w:sz="0" w:space="0" w:color="auto"/>
            <w:right w:val="none" w:sz="0" w:space="0" w:color="auto"/>
          </w:divBdr>
        </w:div>
        <w:div w:id="1096097934">
          <w:marLeft w:val="0"/>
          <w:marRight w:val="0"/>
          <w:marTop w:val="0"/>
          <w:marBottom w:val="0"/>
          <w:divBdr>
            <w:top w:val="none" w:sz="0" w:space="0" w:color="auto"/>
            <w:left w:val="none" w:sz="0" w:space="0" w:color="auto"/>
            <w:bottom w:val="none" w:sz="0" w:space="0" w:color="auto"/>
            <w:right w:val="none" w:sz="0" w:space="0" w:color="auto"/>
          </w:divBdr>
        </w:div>
        <w:div w:id="1267736539">
          <w:marLeft w:val="0"/>
          <w:marRight w:val="0"/>
          <w:marTop w:val="0"/>
          <w:marBottom w:val="0"/>
          <w:divBdr>
            <w:top w:val="none" w:sz="0" w:space="0" w:color="auto"/>
            <w:left w:val="none" w:sz="0" w:space="0" w:color="auto"/>
            <w:bottom w:val="none" w:sz="0" w:space="0" w:color="auto"/>
            <w:right w:val="none" w:sz="0" w:space="0" w:color="auto"/>
          </w:divBdr>
          <w:divsChild>
            <w:div w:id="1358895074">
              <w:marLeft w:val="-75"/>
              <w:marRight w:val="0"/>
              <w:marTop w:val="30"/>
              <w:marBottom w:val="30"/>
              <w:divBdr>
                <w:top w:val="none" w:sz="0" w:space="0" w:color="auto"/>
                <w:left w:val="none" w:sz="0" w:space="0" w:color="auto"/>
                <w:bottom w:val="none" w:sz="0" w:space="0" w:color="auto"/>
                <w:right w:val="none" w:sz="0" w:space="0" w:color="auto"/>
              </w:divBdr>
              <w:divsChild>
                <w:div w:id="20283189">
                  <w:marLeft w:val="0"/>
                  <w:marRight w:val="0"/>
                  <w:marTop w:val="0"/>
                  <w:marBottom w:val="0"/>
                  <w:divBdr>
                    <w:top w:val="none" w:sz="0" w:space="0" w:color="auto"/>
                    <w:left w:val="none" w:sz="0" w:space="0" w:color="auto"/>
                    <w:bottom w:val="none" w:sz="0" w:space="0" w:color="auto"/>
                    <w:right w:val="none" w:sz="0" w:space="0" w:color="auto"/>
                  </w:divBdr>
                  <w:divsChild>
                    <w:div w:id="1948611969">
                      <w:marLeft w:val="0"/>
                      <w:marRight w:val="0"/>
                      <w:marTop w:val="0"/>
                      <w:marBottom w:val="0"/>
                      <w:divBdr>
                        <w:top w:val="none" w:sz="0" w:space="0" w:color="auto"/>
                        <w:left w:val="none" w:sz="0" w:space="0" w:color="auto"/>
                        <w:bottom w:val="none" w:sz="0" w:space="0" w:color="auto"/>
                        <w:right w:val="none" w:sz="0" w:space="0" w:color="auto"/>
                      </w:divBdr>
                    </w:div>
                  </w:divsChild>
                </w:div>
                <w:div w:id="369576767">
                  <w:marLeft w:val="0"/>
                  <w:marRight w:val="0"/>
                  <w:marTop w:val="0"/>
                  <w:marBottom w:val="0"/>
                  <w:divBdr>
                    <w:top w:val="none" w:sz="0" w:space="0" w:color="auto"/>
                    <w:left w:val="none" w:sz="0" w:space="0" w:color="auto"/>
                    <w:bottom w:val="none" w:sz="0" w:space="0" w:color="auto"/>
                    <w:right w:val="none" w:sz="0" w:space="0" w:color="auto"/>
                  </w:divBdr>
                  <w:divsChild>
                    <w:div w:id="1619025583">
                      <w:marLeft w:val="0"/>
                      <w:marRight w:val="0"/>
                      <w:marTop w:val="0"/>
                      <w:marBottom w:val="0"/>
                      <w:divBdr>
                        <w:top w:val="none" w:sz="0" w:space="0" w:color="auto"/>
                        <w:left w:val="none" w:sz="0" w:space="0" w:color="auto"/>
                        <w:bottom w:val="none" w:sz="0" w:space="0" w:color="auto"/>
                        <w:right w:val="none" w:sz="0" w:space="0" w:color="auto"/>
                      </w:divBdr>
                    </w:div>
                  </w:divsChild>
                </w:div>
                <w:div w:id="1404109586">
                  <w:marLeft w:val="0"/>
                  <w:marRight w:val="0"/>
                  <w:marTop w:val="0"/>
                  <w:marBottom w:val="0"/>
                  <w:divBdr>
                    <w:top w:val="none" w:sz="0" w:space="0" w:color="auto"/>
                    <w:left w:val="none" w:sz="0" w:space="0" w:color="auto"/>
                    <w:bottom w:val="none" w:sz="0" w:space="0" w:color="auto"/>
                    <w:right w:val="none" w:sz="0" w:space="0" w:color="auto"/>
                  </w:divBdr>
                  <w:divsChild>
                    <w:div w:id="1469545623">
                      <w:marLeft w:val="0"/>
                      <w:marRight w:val="0"/>
                      <w:marTop w:val="0"/>
                      <w:marBottom w:val="0"/>
                      <w:divBdr>
                        <w:top w:val="none" w:sz="0" w:space="0" w:color="auto"/>
                        <w:left w:val="none" w:sz="0" w:space="0" w:color="auto"/>
                        <w:bottom w:val="none" w:sz="0" w:space="0" w:color="auto"/>
                        <w:right w:val="none" w:sz="0" w:space="0" w:color="auto"/>
                      </w:divBdr>
                    </w:div>
                  </w:divsChild>
                </w:div>
                <w:div w:id="1414813345">
                  <w:marLeft w:val="0"/>
                  <w:marRight w:val="0"/>
                  <w:marTop w:val="0"/>
                  <w:marBottom w:val="0"/>
                  <w:divBdr>
                    <w:top w:val="none" w:sz="0" w:space="0" w:color="auto"/>
                    <w:left w:val="none" w:sz="0" w:space="0" w:color="auto"/>
                    <w:bottom w:val="none" w:sz="0" w:space="0" w:color="auto"/>
                    <w:right w:val="none" w:sz="0" w:space="0" w:color="auto"/>
                  </w:divBdr>
                  <w:divsChild>
                    <w:div w:id="794447713">
                      <w:marLeft w:val="0"/>
                      <w:marRight w:val="0"/>
                      <w:marTop w:val="0"/>
                      <w:marBottom w:val="0"/>
                      <w:divBdr>
                        <w:top w:val="none" w:sz="0" w:space="0" w:color="auto"/>
                        <w:left w:val="none" w:sz="0" w:space="0" w:color="auto"/>
                        <w:bottom w:val="none" w:sz="0" w:space="0" w:color="auto"/>
                        <w:right w:val="none" w:sz="0" w:space="0" w:color="auto"/>
                      </w:divBdr>
                    </w:div>
                  </w:divsChild>
                </w:div>
                <w:div w:id="1470323959">
                  <w:marLeft w:val="0"/>
                  <w:marRight w:val="0"/>
                  <w:marTop w:val="0"/>
                  <w:marBottom w:val="0"/>
                  <w:divBdr>
                    <w:top w:val="none" w:sz="0" w:space="0" w:color="auto"/>
                    <w:left w:val="none" w:sz="0" w:space="0" w:color="auto"/>
                    <w:bottom w:val="none" w:sz="0" w:space="0" w:color="auto"/>
                    <w:right w:val="none" w:sz="0" w:space="0" w:color="auto"/>
                  </w:divBdr>
                  <w:divsChild>
                    <w:div w:id="248589427">
                      <w:marLeft w:val="0"/>
                      <w:marRight w:val="0"/>
                      <w:marTop w:val="0"/>
                      <w:marBottom w:val="0"/>
                      <w:divBdr>
                        <w:top w:val="none" w:sz="0" w:space="0" w:color="auto"/>
                        <w:left w:val="none" w:sz="0" w:space="0" w:color="auto"/>
                        <w:bottom w:val="none" w:sz="0" w:space="0" w:color="auto"/>
                        <w:right w:val="none" w:sz="0" w:space="0" w:color="auto"/>
                      </w:divBdr>
                    </w:div>
                  </w:divsChild>
                </w:div>
                <w:div w:id="1832871655">
                  <w:marLeft w:val="0"/>
                  <w:marRight w:val="0"/>
                  <w:marTop w:val="0"/>
                  <w:marBottom w:val="0"/>
                  <w:divBdr>
                    <w:top w:val="none" w:sz="0" w:space="0" w:color="auto"/>
                    <w:left w:val="none" w:sz="0" w:space="0" w:color="auto"/>
                    <w:bottom w:val="none" w:sz="0" w:space="0" w:color="auto"/>
                    <w:right w:val="none" w:sz="0" w:space="0" w:color="auto"/>
                  </w:divBdr>
                  <w:divsChild>
                    <w:div w:id="143357369">
                      <w:marLeft w:val="0"/>
                      <w:marRight w:val="0"/>
                      <w:marTop w:val="0"/>
                      <w:marBottom w:val="0"/>
                      <w:divBdr>
                        <w:top w:val="none" w:sz="0" w:space="0" w:color="auto"/>
                        <w:left w:val="none" w:sz="0" w:space="0" w:color="auto"/>
                        <w:bottom w:val="none" w:sz="0" w:space="0" w:color="auto"/>
                        <w:right w:val="none" w:sz="0" w:space="0" w:color="auto"/>
                      </w:divBdr>
                    </w:div>
                  </w:divsChild>
                </w:div>
                <w:div w:id="1911033567">
                  <w:marLeft w:val="0"/>
                  <w:marRight w:val="0"/>
                  <w:marTop w:val="0"/>
                  <w:marBottom w:val="0"/>
                  <w:divBdr>
                    <w:top w:val="none" w:sz="0" w:space="0" w:color="auto"/>
                    <w:left w:val="none" w:sz="0" w:space="0" w:color="auto"/>
                    <w:bottom w:val="none" w:sz="0" w:space="0" w:color="auto"/>
                    <w:right w:val="none" w:sz="0" w:space="0" w:color="auto"/>
                  </w:divBdr>
                  <w:divsChild>
                    <w:div w:id="1558854596">
                      <w:marLeft w:val="0"/>
                      <w:marRight w:val="0"/>
                      <w:marTop w:val="0"/>
                      <w:marBottom w:val="0"/>
                      <w:divBdr>
                        <w:top w:val="none" w:sz="0" w:space="0" w:color="auto"/>
                        <w:left w:val="none" w:sz="0" w:space="0" w:color="auto"/>
                        <w:bottom w:val="none" w:sz="0" w:space="0" w:color="auto"/>
                        <w:right w:val="none" w:sz="0" w:space="0" w:color="auto"/>
                      </w:divBdr>
                    </w:div>
                  </w:divsChild>
                </w:div>
                <w:div w:id="1995795006">
                  <w:marLeft w:val="0"/>
                  <w:marRight w:val="0"/>
                  <w:marTop w:val="0"/>
                  <w:marBottom w:val="0"/>
                  <w:divBdr>
                    <w:top w:val="none" w:sz="0" w:space="0" w:color="auto"/>
                    <w:left w:val="none" w:sz="0" w:space="0" w:color="auto"/>
                    <w:bottom w:val="none" w:sz="0" w:space="0" w:color="auto"/>
                    <w:right w:val="none" w:sz="0" w:space="0" w:color="auto"/>
                  </w:divBdr>
                  <w:divsChild>
                    <w:div w:id="21616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692691">
          <w:marLeft w:val="0"/>
          <w:marRight w:val="0"/>
          <w:marTop w:val="0"/>
          <w:marBottom w:val="0"/>
          <w:divBdr>
            <w:top w:val="none" w:sz="0" w:space="0" w:color="auto"/>
            <w:left w:val="none" w:sz="0" w:space="0" w:color="auto"/>
            <w:bottom w:val="none" w:sz="0" w:space="0" w:color="auto"/>
            <w:right w:val="none" w:sz="0" w:space="0" w:color="auto"/>
          </w:divBdr>
        </w:div>
        <w:div w:id="1388647978">
          <w:marLeft w:val="0"/>
          <w:marRight w:val="0"/>
          <w:marTop w:val="0"/>
          <w:marBottom w:val="0"/>
          <w:divBdr>
            <w:top w:val="none" w:sz="0" w:space="0" w:color="auto"/>
            <w:left w:val="none" w:sz="0" w:space="0" w:color="auto"/>
            <w:bottom w:val="none" w:sz="0" w:space="0" w:color="auto"/>
            <w:right w:val="none" w:sz="0" w:space="0" w:color="auto"/>
          </w:divBdr>
        </w:div>
        <w:div w:id="1628967379">
          <w:marLeft w:val="0"/>
          <w:marRight w:val="0"/>
          <w:marTop w:val="0"/>
          <w:marBottom w:val="0"/>
          <w:divBdr>
            <w:top w:val="none" w:sz="0" w:space="0" w:color="auto"/>
            <w:left w:val="none" w:sz="0" w:space="0" w:color="auto"/>
            <w:bottom w:val="none" w:sz="0" w:space="0" w:color="auto"/>
            <w:right w:val="none" w:sz="0" w:space="0" w:color="auto"/>
          </w:divBdr>
        </w:div>
        <w:div w:id="1826361328">
          <w:marLeft w:val="0"/>
          <w:marRight w:val="0"/>
          <w:marTop w:val="0"/>
          <w:marBottom w:val="0"/>
          <w:divBdr>
            <w:top w:val="none" w:sz="0" w:space="0" w:color="auto"/>
            <w:left w:val="none" w:sz="0" w:space="0" w:color="auto"/>
            <w:bottom w:val="none" w:sz="0" w:space="0" w:color="auto"/>
            <w:right w:val="none" w:sz="0" w:space="0" w:color="auto"/>
          </w:divBdr>
        </w:div>
        <w:div w:id="1978022621">
          <w:marLeft w:val="0"/>
          <w:marRight w:val="0"/>
          <w:marTop w:val="0"/>
          <w:marBottom w:val="0"/>
          <w:divBdr>
            <w:top w:val="none" w:sz="0" w:space="0" w:color="auto"/>
            <w:left w:val="none" w:sz="0" w:space="0" w:color="auto"/>
            <w:bottom w:val="none" w:sz="0" w:space="0" w:color="auto"/>
            <w:right w:val="none" w:sz="0" w:space="0" w:color="auto"/>
          </w:divBdr>
        </w:div>
        <w:div w:id="2035618992">
          <w:marLeft w:val="0"/>
          <w:marRight w:val="0"/>
          <w:marTop w:val="0"/>
          <w:marBottom w:val="0"/>
          <w:divBdr>
            <w:top w:val="none" w:sz="0" w:space="0" w:color="auto"/>
            <w:left w:val="none" w:sz="0" w:space="0" w:color="auto"/>
            <w:bottom w:val="none" w:sz="0" w:space="0" w:color="auto"/>
            <w:right w:val="none" w:sz="0" w:space="0" w:color="auto"/>
          </w:divBdr>
        </w:div>
      </w:divsChild>
    </w:div>
    <w:div w:id="1749618720">
      <w:bodyDiv w:val="1"/>
      <w:marLeft w:val="0"/>
      <w:marRight w:val="0"/>
      <w:marTop w:val="0"/>
      <w:marBottom w:val="0"/>
      <w:divBdr>
        <w:top w:val="none" w:sz="0" w:space="0" w:color="auto"/>
        <w:left w:val="none" w:sz="0" w:space="0" w:color="auto"/>
        <w:bottom w:val="none" w:sz="0" w:space="0" w:color="auto"/>
        <w:right w:val="none" w:sz="0" w:space="0" w:color="auto"/>
      </w:divBdr>
      <w:divsChild>
        <w:div w:id="488716125">
          <w:marLeft w:val="0"/>
          <w:marRight w:val="0"/>
          <w:marTop w:val="0"/>
          <w:marBottom w:val="0"/>
          <w:divBdr>
            <w:top w:val="none" w:sz="0" w:space="0" w:color="auto"/>
            <w:left w:val="none" w:sz="0" w:space="0" w:color="auto"/>
            <w:bottom w:val="none" w:sz="0" w:space="0" w:color="auto"/>
            <w:right w:val="none" w:sz="0" w:space="0" w:color="auto"/>
          </w:divBdr>
        </w:div>
        <w:div w:id="1938828982">
          <w:marLeft w:val="0"/>
          <w:marRight w:val="0"/>
          <w:marTop w:val="0"/>
          <w:marBottom w:val="0"/>
          <w:divBdr>
            <w:top w:val="none" w:sz="0" w:space="0" w:color="auto"/>
            <w:left w:val="none" w:sz="0" w:space="0" w:color="auto"/>
            <w:bottom w:val="none" w:sz="0" w:space="0" w:color="auto"/>
            <w:right w:val="none" w:sz="0" w:space="0" w:color="auto"/>
          </w:divBdr>
        </w:div>
        <w:div w:id="8260660">
          <w:marLeft w:val="0"/>
          <w:marRight w:val="0"/>
          <w:marTop w:val="0"/>
          <w:marBottom w:val="0"/>
          <w:divBdr>
            <w:top w:val="none" w:sz="0" w:space="0" w:color="auto"/>
            <w:left w:val="none" w:sz="0" w:space="0" w:color="auto"/>
            <w:bottom w:val="none" w:sz="0" w:space="0" w:color="auto"/>
            <w:right w:val="none" w:sz="0" w:space="0" w:color="auto"/>
          </w:divBdr>
        </w:div>
        <w:div w:id="1153789001">
          <w:marLeft w:val="0"/>
          <w:marRight w:val="0"/>
          <w:marTop w:val="0"/>
          <w:marBottom w:val="0"/>
          <w:divBdr>
            <w:top w:val="none" w:sz="0" w:space="0" w:color="auto"/>
            <w:left w:val="none" w:sz="0" w:space="0" w:color="auto"/>
            <w:bottom w:val="none" w:sz="0" w:space="0" w:color="auto"/>
            <w:right w:val="none" w:sz="0" w:space="0" w:color="auto"/>
          </w:divBdr>
        </w:div>
        <w:div w:id="1504665718">
          <w:marLeft w:val="0"/>
          <w:marRight w:val="0"/>
          <w:marTop w:val="0"/>
          <w:marBottom w:val="0"/>
          <w:divBdr>
            <w:top w:val="none" w:sz="0" w:space="0" w:color="auto"/>
            <w:left w:val="none" w:sz="0" w:space="0" w:color="auto"/>
            <w:bottom w:val="none" w:sz="0" w:space="0" w:color="auto"/>
            <w:right w:val="none" w:sz="0" w:space="0" w:color="auto"/>
          </w:divBdr>
        </w:div>
        <w:div w:id="1076783497">
          <w:marLeft w:val="0"/>
          <w:marRight w:val="0"/>
          <w:marTop w:val="0"/>
          <w:marBottom w:val="0"/>
          <w:divBdr>
            <w:top w:val="none" w:sz="0" w:space="0" w:color="auto"/>
            <w:left w:val="none" w:sz="0" w:space="0" w:color="auto"/>
            <w:bottom w:val="none" w:sz="0" w:space="0" w:color="auto"/>
            <w:right w:val="none" w:sz="0" w:space="0" w:color="auto"/>
          </w:divBdr>
        </w:div>
        <w:div w:id="1147741928">
          <w:marLeft w:val="0"/>
          <w:marRight w:val="0"/>
          <w:marTop w:val="0"/>
          <w:marBottom w:val="0"/>
          <w:divBdr>
            <w:top w:val="none" w:sz="0" w:space="0" w:color="auto"/>
            <w:left w:val="none" w:sz="0" w:space="0" w:color="auto"/>
            <w:bottom w:val="none" w:sz="0" w:space="0" w:color="auto"/>
            <w:right w:val="none" w:sz="0" w:space="0" w:color="auto"/>
          </w:divBdr>
        </w:div>
        <w:div w:id="461311287">
          <w:marLeft w:val="0"/>
          <w:marRight w:val="0"/>
          <w:marTop w:val="0"/>
          <w:marBottom w:val="0"/>
          <w:divBdr>
            <w:top w:val="none" w:sz="0" w:space="0" w:color="auto"/>
            <w:left w:val="none" w:sz="0" w:space="0" w:color="auto"/>
            <w:bottom w:val="none" w:sz="0" w:space="0" w:color="auto"/>
            <w:right w:val="none" w:sz="0" w:space="0" w:color="auto"/>
          </w:divBdr>
        </w:div>
        <w:div w:id="2074428806">
          <w:marLeft w:val="0"/>
          <w:marRight w:val="0"/>
          <w:marTop w:val="0"/>
          <w:marBottom w:val="0"/>
          <w:divBdr>
            <w:top w:val="none" w:sz="0" w:space="0" w:color="auto"/>
            <w:left w:val="none" w:sz="0" w:space="0" w:color="auto"/>
            <w:bottom w:val="none" w:sz="0" w:space="0" w:color="auto"/>
            <w:right w:val="none" w:sz="0" w:space="0" w:color="auto"/>
          </w:divBdr>
        </w:div>
        <w:div w:id="1226719986">
          <w:marLeft w:val="0"/>
          <w:marRight w:val="0"/>
          <w:marTop w:val="0"/>
          <w:marBottom w:val="0"/>
          <w:divBdr>
            <w:top w:val="none" w:sz="0" w:space="0" w:color="auto"/>
            <w:left w:val="none" w:sz="0" w:space="0" w:color="auto"/>
            <w:bottom w:val="none" w:sz="0" w:space="0" w:color="auto"/>
            <w:right w:val="none" w:sz="0" w:space="0" w:color="auto"/>
          </w:divBdr>
        </w:div>
        <w:div w:id="1351877068">
          <w:marLeft w:val="0"/>
          <w:marRight w:val="0"/>
          <w:marTop w:val="0"/>
          <w:marBottom w:val="0"/>
          <w:divBdr>
            <w:top w:val="none" w:sz="0" w:space="0" w:color="auto"/>
            <w:left w:val="none" w:sz="0" w:space="0" w:color="auto"/>
            <w:bottom w:val="none" w:sz="0" w:space="0" w:color="auto"/>
            <w:right w:val="none" w:sz="0" w:space="0" w:color="auto"/>
          </w:divBdr>
        </w:div>
        <w:div w:id="2144809228">
          <w:marLeft w:val="0"/>
          <w:marRight w:val="0"/>
          <w:marTop w:val="0"/>
          <w:marBottom w:val="0"/>
          <w:divBdr>
            <w:top w:val="none" w:sz="0" w:space="0" w:color="auto"/>
            <w:left w:val="none" w:sz="0" w:space="0" w:color="auto"/>
            <w:bottom w:val="none" w:sz="0" w:space="0" w:color="auto"/>
            <w:right w:val="none" w:sz="0" w:space="0" w:color="auto"/>
          </w:divBdr>
        </w:div>
        <w:div w:id="906919474">
          <w:marLeft w:val="0"/>
          <w:marRight w:val="0"/>
          <w:marTop w:val="0"/>
          <w:marBottom w:val="0"/>
          <w:divBdr>
            <w:top w:val="none" w:sz="0" w:space="0" w:color="auto"/>
            <w:left w:val="none" w:sz="0" w:space="0" w:color="auto"/>
            <w:bottom w:val="none" w:sz="0" w:space="0" w:color="auto"/>
            <w:right w:val="none" w:sz="0" w:space="0" w:color="auto"/>
          </w:divBdr>
        </w:div>
      </w:divsChild>
    </w:div>
    <w:div w:id="1760515572">
      <w:bodyDiv w:val="1"/>
      <w:marLeft w:val="0"/>
      <w:marRight w:val="0"/>
      <w:marTop w:val="0"/>
      <w:marBottom w:val="0"/>
      <w:divBdr>
        <w:top w:val="none" w:sz="0" w:space="0" w:color="auto"/>
        <w:left w:val="none" w:sz="0" w:space="0" w:color="auto"/>
        <w:bottom w:val="none" w:sz="0" w:space="0" w:color="auto"/>
        <w:right w:val="none" w:sz="0" w:space="0" w:color="auto"/>
      </w:divBdr>
    </w:div>
    <w:div w:id="1808930365">
      <w:bodyDiv w:val="1"/>
      <w:marLeft w:val="0"/>
      <w:marRight w:val="0"/>
      <w:marTop w:val="0"/>
      <w:marBottom w:val="0"/>
      <w:divBdr>
        <w:top w:val="none" w:sz="0" w:space="0" w:color="auto"/>
        <w:left w:val="none" w:sz="0" w:space="0" w:color="auto"/>
        <w:bottom w:val="none" w:sz="0" w:space="0" w:color="auto"/>
        <w:right w:val="none" w:sz="0" w:space="0" w:color="auto"/>
      </w:divBdr>
    </w:div>
    <w:div w:id="1829978441">
      <w:bodyDiv w:val="1"/>
      <w:marLeft w:val="0"/>
      <w:marRight w:val="0"/>
      <w:marTop w:val="0"/>
      <w:marBottom w:val="0"/>
      <w:divBdr>
        <w:top w:val="none" w:sz="0" w:space="0" w:color="auto"/>
        <w:left w:val="none" w:sz="0" w:space="0" w:color="auto"/>
        <w:bottom w:val="none" w:sz="0" w:space="0" w:color="auto"/>
        <w:right w:val="none" w:sz="0" w:space="0" w:color="auto"/>
      </w:divBdr>
    </w:div>
    <w:div w:id="2010257350">
      <w:bodyDiv w:val="1"/>
      <w:marLeft w:val="0"/>
      <w:marRight w:val="0"/>
      <w:marTop w:val="0"/>
      <w:marBottom w:val="0"/>
      <w:divBdr>
        <w:top w:val="none" w:sz="0" w:space="0" w:color="auto"/>
        <w:left w:val="none" w:sz="0" w:space="0" w:color="auto"/>
        <w:bottom w:val="none" w:sz="0" w:space="0" w:color="auto"/>
        <w:right w:val="none" w:sz="0" w:space="0" w:color="auto"/>
      </w:divBdr>
    </w:div>
    <w:div w:id="2039425886">
      <w:bodyDiv w:val="1"/>
      <w:marLeft w:val="0"/>
      <w:marRight w:val="0"/>
      <w:marTop w:val="0"/>
      <w:marBottom w:val="0"/>
      <w:divBdr>
        <w:top w:val="none" w:sz="0" w:space="0" w:color="auto"/>
        <w:left w:val="none" w:sz="0" w:space="0" w:color="auto"/>
        <w:bottom w:val="none" w:sz="0" w:space="0" w:color="auto"/>
        <w:right w:val="none" w:sz="0" w:space="0" w:color="auto"/>
      </w:divBdr>
    </w:div>
    <w:div w:id="2048527621">
      <w:bodyDiv w:val="1"/>
      <w:marLeft w:val="0"/>
      <w:marRight w:val="0"/>
      <w:marTop w:val="0"/>
      <w:marBottom w:val="0"/>
      <w:divBdr>
        <w:top w:val="none" w:sz="0" w:space="0" w:color="auto"/>
        <w:left w:val="none" w:sz="0" w:space="0" w:color="auto"/>
        <w:bottom w:val="none" w:sz="0" w:space="0" w:color="auto"/>
        <w:right w:val="none" w:sz="0" w:space="0" w:color="auto"/>
      </w:divBdr>
    </w:div>
    <w:div w:id="2132624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hyperlink" Target="https://www.marches-publics.gouv.fr/" TargetMode="External"/><Relationship Id="rId26" Type="http://schemas.openxmlformats.org/officeDocument/2006/relationships/footer" Target="footer1.xml"/><Relationship Id="rId39"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mailto:fatima.zemali@ch-stdenis.fr"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achat-sante.com" TargetMode="External"/><Relationship Id="rId25" Type="http://schemas.openxmlformats.org/officeDocument/2006/relationships/hyperlink" Target="mailto:greffe.ta-montreuil@juradm.fr" TargetMode="External"/><Relationship Id="rId2" Type="http://schemas.openxmlformats.org/officeDocument/2006/relationships/customXml" Target="../customXml/item2.xml"/><Relationship Id="rId16" Type="http://schemas.openxmlformats.org/officeDocument/2006/relationships/hyperlink" Target="http://www.legifrance.gouv.fr/" TargetMode="External"/><Relationship Id="rId20" Type="http://schemas.openxmlformats.org/officeDocument/2006/relationships/hyperlink" Target="mailto:myrline.osias@ch-stdenis.f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eur-lex.europa.eu/legal-content/FR/TXT/?uri=celex%3A32014R0910" TargetMode="External"/><Relationship Id="rId5" Type="http://schemas.openxmlformats.org/officeDocument/2006/relationships/numbering" Target="numbering.xml"/><Relationship Id="rId15" Type="http://schemas.openxmlformats.org/officeDocument/2006/relationships/hyperlink" Target="mailto:contact@be-batitech.fr" TargetMode="External"/><Relationship Id="rId23" Type="http://schemas.openxmlformats.org/officeDocument/2006/relationships/hyperlink" Target="https://www.ssi.gouv.fr/uploads/2016/07/tl-fr.pdf"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 Id="rId22" Type="http://schemas.openxmlformats.org/officeDocument/2006/relationships/hyperlink" Target="https://www.marches-publics.gouv.fr"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C7135D409C98479600BF4188353DF9" ma:contentTypeVersion="11" ma:contentTypeDescription="Crée un document." ma:contentTypeScope="" ma:versionID="cd1448acf11f300ddc24562363cac9e1">
  <xsd:schema xmlns:xsd="http://www.w3.org/2001/XMLSchema" xmlns:xs="http://www.w3.org/2001/XMLSchema" xmlns:p="http://schemas.microsoft.com/office/2006/metadata/properties" xmlns:ns2="d2595fc6-8427-4826-b8e9-cbf8289162ef" xmlns:ns3="458bb978-e978-4e53-abf3-c9a655a61021" targetNamespace="http://schemas.microsoft.com/office/2006/metadata/properties" ma:root="true" ma:fieldsID="6915736a4d58378e6ca8d69f8cfce8e5" ns2:_="" ns3:_="">
    <xsd:import namespace="d2595fc6-8427-4826-b8e9-cbf8289162ef"/>
    <xsd:import namespace="458bb978-e978-4e53-abf3-c9a655a6102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595fc6-8427-4826-b8e9-cbf828916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72bc83ab-20a5-444d-9401-a7063d1fed5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8bb978-e978-4e53-abf3-c9a655a6102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de6c0ef-12ed-4e38-b9a8-5b4e8e66560e}" ma:internalName="TaxCatchAll" ma:showField="CatchAllData" ma:web="458bb978-e978-4e53-abf3-c9a655a610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2595fc6-8427-4826-b8e9-cbf8289162ef">
      <Terms xmlns="http://schemas.microsoft.com/office/infopath/2007/PartnerControls"/>
    </lcf76f155ced4ddcb4097134ff3c332f>
    <TaxCatchAll xmlns="458bb978-e978-4e53-abf3-c9a655a6102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B4617-621E-47F6-B6C3-D5C21E5AEB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595fc6-8427-4826-b8e9-cbf8289162ef"/>
    <ds:schemaRef ds:uri="458bb978-e978-4e53-abf3-c9a655a610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B53988-2E6E-462B-87DF-DE69AEAAB30E}">
  <ds:schemaRefs>
    <ds:schemaRef ds:uri="http://schemas.microsoft.com/office/2006/metadata/properties"/>
    <ds:schemaRef ds:uri="http://schemas.microsoft.com/office/infopath/2007/PartnerControls"/>
    <ds:schemaRef ds:uri="d2595fc6-8427-4826-b8e9-cbf8289162ef"/>
    <ds:schemaRef ds:uri="458bb978-e978-4e53-abf3-c9a655a61021"/>
  </ds:schemaRefs>
</ds:datastoreItem>
</file>

<file path=customXml/itemProps3.xml><?xml version="1.0" encoding="utf-8"?>
<ds:datastoreItem xmlns:ds="http://schemas.openxmlformats.org/officeDocument/2006/customXml" ds:itemID="{ACC06972-0772-433C-A1E6-D289E58E2598}">
  <ds:schemaRefs>
    <ds:schemaRef ds:uri="http://schemas.microsoft.com/sharepoint/v3/contenttype/forms"/>
  </ds:schemaRefs>
</ds:datastoreItem>
</file>

<file path=customXml/itemProps4.xml><?xml version="1.0" encoding="utf-8"?>
<ds:datastoreItem xmlns:ds="http://schemas.openxmlformats.org/officeDocument/2006/customXml" ds:itemID="{5E12D95C-8FD4-49CA-ACE0-B4ED433E7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14</Pages>
  <Words>4736</Words>
  <Characters>26051</Characters>
  <Application>Microsoft Office Word</Application>
  <DocSecurity>0</DocSecurity>
  <Lines>217</Lines>
  <Paragraphs>61</Paragraphs>
  <ScaleCrop>false</ScaleCrop>
  <HeadingPairs>
    <vt:vector size="2" baseType="variant">
      <vt:variant>
        <vt:lpstr>Titre</vt:lpstr>
      </vt:variant>
      <vt:variant>
        <vt:i4>1</vt:i4>
      </vt:variant>
    </vt:vector>
  </HeadingPairs>
  <TitlesOfParts>
    <vt:vector size="1" baseType="lpstr">
      <vt:lpstr>Ces documents de consultation ont été élaborés dans le cadre d’une collaboration entre le Projet achats de la FEHAP et le Resah-Idf</vt:lpstr>
    </vt:vector>
  </TitlesOfParts>
  <Company>CHLMLV</Company>
  <LinksUpToDate>false</LinksUpToDate>
  <CharactersWithSpaces>30726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Ces documents de consultation ont été élaborés dans le cadre d’une collaboration entre le Projet achats de la FEHAP et le Resah-Idf</dc:title>
  <dc:subject/>
  <dc:creator>P00759</dc:creator>
  <cp:keywords/>
  <cp:lastModifiedBy>LUNTADILA Jeremie</cp:lastModifiedBy>
  <cp:revision>140</cp:revision>
  <cp:lastPrinted>2025-01-20T11:17:00Z</cp:lastPrinted>
  <dcterms:created xsi:type="dcterms:W3CDTF">2025-01-20T10:17:00Z</dcterms:created>
  <dcterms:modified xsi:type="dcterms:W3CDTF">2025-08-04T13:03:00Z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0x01010035C7135D409C98479600BF4188353DF9</vt:lpwstr>
  </property>
  <property fmtid="{D5CDD505-2E9C-101B-9397-08002B2CF9AE}" pid="3" name="MediaServiceImageTags">
    <vt:lpwstr/>
  </property>
  <property fmtid="{D5CDD505-2E9C-101B-9397-08002B2CF9AE}" pid="4" name="_dlc_DocIdItemGuid">
    <vt:lpwstr>c4f87790-3a5f-4999-969b-d34367183def</vt:lpwstr>
  </property>
</Properties>
</file>